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AC" w:rsidRDefault="00F703AC" w:rsidP="00C045FC">
      <w:pPr>
        <w:rPr>
          <w:rFonts w:asciiTheme="majorBidi" w:eastAsiaTheme="majorEastAsia" w:hAnsiTheme="majorBidi" w:cstheme="majorBidi"/>
          <w:color w:val="FF0000"/>
          <w:kern w:val="24"/>
          <w:sz w:val="32"/>
          <w:szCs w:val="32"/>
        </w:rPr>
      </w:pPr>
    </w:p>
    <w:p w:rsidR="00281B95" w:rsidRPr="00281B95" w:rsidRDefault="00281B95" w:rsidP="00281B95">
      <w:pPr>
        <w:spacing w:after="0"/>
        <w:rPr>
          <w:rFonts w:asciiTheme="majorBidi" w:eastAsiaTheme="majorEastAsia" w:hAnsiTheme="majorBidi" w:cstheme="majorBidi"/>
          <w:b/>
          <w:bCs/>
          <w:kern w:val="24"/>
          <w:sz w:val="28"/>
          <w:szCs w:val="28"/>
        </w:rPr>
      </w:pPr>
      <w:r w:rsidRPr="00281B95">
        <w:rPr>
          <w:rFonts w:asciiTheme="majorBidi" w:eastAsiaTheme="majorEastAsia" w:hAnsiTheme="majorBidi" w:cstheme="majorBidi"/>
          <w:b/>
          <w:bCs/>
          <w:kern w:val="24"/>
          <w:sz w:val="28"/>
          <w:szCs w:val="28"/>
        </w:rPr>
        <w:t>A</w:t>
      </w:r>
      <w:r>
        <w:rPr>
          <w:rFonts w:asciiTheme="majorBidi" w:eastAsiaTheme="majorEastAsia" w:hAnsiTheme="majorBidi" w:cstheme="majorBidi"/>
          <w:b/>
          <w:bCs/>
          <w:kern w:val="24"/>
          <w:sz w:val="28"/>
          <w:szCs w:val="28"/>
        </w:rPr>
        <w:t>ntimetaboli</w:t>
      </w:r>
      <w:r w:rsidRPr="00281B95">
        <w:rPr>
          <w:rFonts w:asciiTheme="majorBidi" w:eastAsiaTheme="majorEastAsia" w:hAnsiTheme="majorBidi" w:cstheme="majorBidi"/>
          <w:b/>
          <w:bCs/>
          <w:kern w:val="24"/>
          <w:sz w:val="28"/>
          <w:szCs w:val="28"/>
        </w:rPr>
        <w:t>te drugs</w:t>
      </w:r>
    </w:p>
    <w:p w:rsidR="00281B95" w:rsidRDefault="00281B95" w:rsidP="00281B95">
      <w:pPr>
        <w:spacing w:after="0"/>
        <w:rPr>
          <w:rFonts w:asciiTheme="majorBidi" w:eastAsiaTheme="majorEastAsia" w:hAnsiTheme="majorBidi" w:cstheme="majorBidi"/>
          <w:spacing w:val="-1"/>
          <w:kern w:val="24"/>
          <w:sz w:val="28"/>
          <w:szCs w:val="28"/>
        </w:rPr>
      </w:pPr>
      <w:r w:rsidRPr="00281B95">
        <w:rPr>
          <w:rFonts w:asciiTheme="majorBidi" w:eastAsiaTheme="majorEastAsia" w:hAnsiTheme="majorBidi" w:cstheme="majorBidi"/>
          <w:spacing w:val="-1"/>
          <w:kern w:val="24"/>
          <w:sz w:val="28"/>
          <w:szCs w:val="28"/>
        </w:rPr>
        <w:t xml:space="preserve">Purine and pyrimidine antagonists are required activation by </w:t>
      </w:r>
      <w:proofErr w:type="spellStart"/>
      <w:r w:rsidRPr="00281B95">
        <w:rPr>
          <w:rFonts w:asciiTheme="majorBidi" w:eastAsiaTheme="majorEastAsia" w:hAnsiTheme="majorBidi" w:cstheme="majorBidi"/>
          <w:spacing w:val="-1"/>
          <w:kern w:val="24"/>
          <w:sz w:val="28"/>
          <w:szCs w:val="28"/>
        </w:rPr>
        <w:t>phosphorelated</w:t>
      </w:r>
      <w:proofErr w:type="spellEnd"/>
      <w:r w:rsidRPr="00281B95">
        <w:rPr>
          <w:rFonts w:asciiTheme="majorBidi" w:eastAsiaTheme="majorEastAsia" w:hAnsiTheme="majorBidi" w:cstheme="majorBidi"/>
          <w:spacing w:val="-1"/>
          <w:kern w:val="24"/>
          <w:sz w:val="28"/>
          <w:szCs w:val="28"/>
        </w:rPr>
        <w:t xml:space="preserve"> inside the body into nucleotide form in order to be cytotoxic.</w:t>
      </w:r>
    </w:p>
    <w:p w:rsidR="00281B95" w:rsidRPr="00281B95" w:rsidRDefault="00281B95" w:rsidP="00281B95">
      <w:pPr>
        <w:spacing w:after="0"/>
        <w:rPr>
          <w:rFonts w:asciiTheme="majorBidi" w:eastAsiaTheme="majorEastAsia" w:hAnsiTheme="majorBidi" w:cstheme="majorBidi"/>
          <w:spacing w:val="-1"/>
          <w:kern w:val="24"/>
          <w:sz w:val="28"/>
          <w:szCs w:val="28"/>
        </w:rPr>
      </w:pPr>
    </w:p>
    <w:p w:rsidR="003756D0" w:rsidRPr="00DE02BC" w:rsidRDefault="00E51FD9" w:rsidP="00C045FC">
      <w:pPr>
        <w:rPr>
          <w:rFonts w:asciiTheme="majorBidi" w:eastAsiaTheme="majorEastAsia" w:hAnsiTheme="majorBidi" w:cstheme="majorBidi"/>
          <w:kern w:val="24"/>
          <w:sz w:val="28"/>
          <w:szCs w:val="28"/>
        </w:rPr>
      </w:pPr>
      <w:r>
        <w:rPr>
          <w:rFonts w:asciiTheme="majorBidi" w:eastAsiaTheme="majorEastAsia" w:hAnsiTheme="majorBidi" w:cstheme="majorBidi"/>
          <w:kern w:val="24"/>
          <w:sz w:val="28"/>
          <w:szCs w:val="28"/>
        </w:rPr>
        <w:t xml:space="preserve">3- </w:t>
      </w:r>
      <w:r w:rsidR="00281B95">
        <w:rPr>
          <w:rFonts w:asciiTheme="majorBidi" w:eastAsiaTheme="majorEastAsia" w:hAnsiTheme="majorBidi" w:cstheme="majorBidi"/>
          <w:kern w:val="24"/>
          <w:sz w:val="28"/>
          <w:szCs w:val="28"/>
        </w:rPr>
        <w:t>Folic Acid antagonists (</w:t>
      </w:r>
      <w:proofErr w:type="spellStart"/>
      <w:r w:rsidR="00281B95">
        <w:rPr>
          <w:rFonts w:asciiTheme="majorBidi" w:eastAsiaTheme="majorEastAsia" w:hAnsiTheme="majorBidi" w:cstheme="majorBidi"/>
          <w:kern w:val="24"/>
          <w:sz w:val="28"/>
          <w:szCs w:val="28"/>
        </w:rPr>
        <w:t>Antifolates</w:t>
      </w:r>
      <w:proofErr w:type="spellEnd"/>
      <w:r w:rsidR="00281B95">
        <w:rPr>
          <w:rFonts w:asciiTheme="majorBidi" w:eastAsiaTheme="majorEastAsia" w:hAnsiTheme="majorBidi" w:cstheme="majorBidi"/>
          <w:kern w:val="24"/>
          <w:sz w:val="28"/>
          <w:szCs w:val="28"/>
        </w:rPr>
        <w:t>)</w:t>
      </w:r>
      <w:r w:rsidR="00DE02BC" w:rsidRPr="00DE02BC">
        <w:rPr>
          <w:rFonts w:asciiTheme="majorBidi" w:eastAsiaTheme="majorEastAsia" w:hAnsiTheme="majorBidi" w:cstheme="majorBidi"/>
          <w:kern w:val="24"/>
          <w:sz w:val="28"/>
          <w:szCs w:val="28"/>
        </w:rPr>
        <w:t xml:space="preserve">: </w:t>
      </w:r>
    </w:p>
    <w:p w:rsidR="00F703AC" w:rsidRDefault="000D2AA0" w:rsidP="00205F15">
      <w:pPr>
        <w:rPr>
          <w:rFonts w:asciiTheme="majorBidi" w:hAnsiTheme="majorBidi" w:cstheme="majorBidi"/>
          <w:sz w:val="28"/>
          <w:szCs w:val="28"/>
        </w:rPr>
      </w:pPr>
      <w:r w:rsidRPr="00DE02BC">
        <w:rPr>
          <w:rFonts w:asciiTheme="majorBidi" w:eastAsiaTheme="majorEastAsia" w:hAnsiTheme="majorBidi" w:cstheme="majorBidi"/>
          <w:kern w:val="24"/>
          <w:sz w:val="28"/>
          <w:szCs w:val="28"/>
        </w:rPr>
        <w:t>Folic acid</w:t>
      </w:r>
      <w:r w:rsidR="00DE02BC" w:rsidRPr="00DE02BC">
        <w:rPr>
          <w:rFonts w:asciiTheme="majorBidi" w:eastAsiaTheme="majorEastAsia" w:hAnsiTheme="majorBidi" w:cstheme="majorBidi"/>
          <w:kern w:val="24"/>
          <w:sz w:val="28"/>
          <w:szCs w:val="28"/>
        </w:rPr>
        <w:t xml:space="preserve"> and the structures of the major </w:t>
      </w:r>
      <w:proofErr w:type="spellStart"/>
      <w:r w:rsidR="00DE02BC" w:rsidRPr="00DE02BC">
        <w:rPr>
          <w:rFonts w:asciiTheme="majorBidi" w:eastAsiaTheme="majorEastAsia" w:hAnsiTheme="majorBidi" w:cstheme="majorBidi"/>
          <w:kern w:val="24"/>
          <w:sz w:val="28"/>
          <w:szCs w:val="28"/>
        </w:rPr>
        <w:t>antifolate</w:t>
      </w:r>
      <w:proofErr w:type="spellEnd"/>
      <w:r w:rsidR="00DE02BC" w:rsidRPr="00DE02BC">
        <w:rPr>
          <w:rFonts w:asciiTheme="majorBidi" w:eastAsiaTheme="majorEastAsia" w:hAnsiTheme="majorBidi" w:cstheme="majorBidi"/>
          <w:kern w:val="24"/>
          <w:sz w:val="28"/>
          <w:szCs w:val="28"/>
        </w:rPr>
        <w:t xml:space="preserve"> anticancer drugs are shown of the following: </w:t>
      </w:r>
      <w:r w:rsidR="00DE02BC" w:rsidRPr="00DE02BC">
        <w:rPr>
          <w:rFonts w:asciiTheme="majorBidi" w:hAnsiTheme="majorBidi" w:cstheme="majorBidi"/>
          <w:sz w:val="28"/>
          <w:szCs w:val="28"/>
        </w:rPr>
        <w:t xml:space="preserve">Methotrexate, </w:t>
      </w:r>
      <w:proofErr w:type="spellStart"/>
      <w:r w:rsidR="00DE02BC" w:rsidRPr="00DE02BC">
        <w:rPr>
          <w:rFonts w:asciiTheme="majorBidi" w:hAnsiTheme="majorBidi" w:cstheme="majorBidi"/>
          <w:sz w:val="28"/>
          <w:szCs w:val="28"/>
        </w:rPr>
        <w:t>Pemetrexed</w:t>
      </w:r>
      <w:proofErr w:type="spellEnd"/>
      <w:r w:rsidR="00DE02BC" w:rsidRPr="00DE02BC">
        <w:rPr>
          <w:rFonts w:asciiTheme="majorBidi" w:hAnsiTheme="majorBidi" w:cstheme="majorBidi"/>
          <w:sz w:val="28"/>
          <w:szCs w:val="28"/>
        </w:rPr>
        <w:t xml:space="preserve">, </w:t>
      </w:r>
      <w:proofErr w:type="spellStart"/>
      <w:r w:rsidR="00DE02BC" w:rsidRPr="00DE02BC">
        <w:rPr>
          <w:rFonts w:asciiTheme="majorBidi" w:hAnsiTheme="majorBidi" w:cstheme="majorBidi"/>
          <w:sz w:val="28"/>
          <w:szCs w:val="28"/>
        </w:rPr>
        <w:t>Nolatrexed</w:t>
      </w:r>
      <w:proofErr w:type="spellEnd"/>
      <w:r w:rsidR="00DE02BC" w:rsidRPr="00DE02BC">
        <w:rPr>
          <w:rFonts w:asciiTheme="majorBidi" w:hAnsiTheme="majorBidi" w:cstheme="majorBidi"/>
          <w:sz w:val="28"/>
          <w:szCs w:val="28"/>
        </w:rPr>
        <w:t xml:space="preserve"> and </w:t>
      </w:r>
      <w:proofErr w:type="spellStart"/>
      <w:r w:rsidR="00F703AC" w:rsidRPr="00DE02BC">
        <w:rPr>
          <w:rFonts w:asciiTheme="majorBidi" w:hAnsiTheme="majorBidi" w:cstheme="majorBidi"/>
          <w:sz w:val="28"/>
          <w:szCs w:val="28"/>
        </w:rPr>
        <w:t>Raltitrexed</w:t>
      </w:r>
      <w:proofErr w:type="spellEnd"/>
      <w:r w:rsidR="00DE02BC" w:rsidRPr="00DE02BC">
        <w:rPr>
          <w:rFonts w:asciiTheme="majorBidi" w:hAnsiTheme="majorBidi" w:cstheme="majorBidi"/>
          <w:sz w:val="28"/>
          <w:szCs w:val="28"/>
        </w:rPr>
        <w:t>.</w:t>
      </w:r>
      <w:r w:rsidR="00F703AC" w:rsidRPr="00DE02BC">
        <w:rPr>
          <w:rFonts w:asciiTheme="majorBidi" w:hAnsiTheme="majorBidi" w:cstheme="majorBidi"/>
          <w:sz w:val="28"/>
          <w:szCs w:val="28"/>
        </w:rPr>
        <w:br/>
        <w:t xml:space="preserve">- </w:t>
      </w:r>
      <w:proofErr w:type="spellStart"/>
      <w:r w:rsidR="00F703AC" w:rsidRPr="00DE02BC">
        <w:rPr>
          <w:rFonts w:asciiTheme="majorBidi" w:hAnsiTheme="majorBidi" w:cstheme="majorBidi"/>
          <w:sz w:val="28"/>
          <w:szCs w:val="28"/>
        </w:rPr>
        <w:t>Antifolate</w:t>
      </w:r>
      <w:proofErr w:type="spellEnd"/>
      <w:r w:rsidR="00F703AC" w:rsidRPr="00DE02BC">
        <w:rPr>
          <w:rFonts w:asciiTheme="majorBidi" w:hAnsiTheme="majorBidi" w:cstheme="majorBidi"/>
          <w:sz w:val="28"/>
          <w:szCs w:val="28"/>
        </w:rPr>
        <w:t xml:space="preserve"> </w:t>
      </w:r>
      <w:proofErr w:type="spellStart"/>
      <w:r w:rsidR="00F703AC" w:rsidRPr="00DE02BC">
        <w:rPr>
          <w:rFonts w:asciiTheme="majorBidi" w:hAnsiTheme="majorBidi" w:cstheme="majorBidi"/>
          <w:sz w:val="28"/>
          <w:szCs w:val="28"/>
        </w:rPr>
        <w:t>cpds</w:t>
      </w:r>
      <w:proofErr w:type="spellEnd"/>
      <w:r w:rsidR="00F703AC" w:rsidRPr="00DE02BC">
        <w:rPr>
          <w:rFonts w:asciiTheme="majorBidi" w:hAnsiTheme="majorBidi" w:cstheme="majorBidi"/>
          <w:sz w:val="28"/>
          <w:szCs w:val="28"/>
        </w:rPr>
        <w:t xml:space="preserve"> has been proven in t</w:t>
      </w:r>
      <w:r w:rsidR="00205F15">
        <w:rPr>
          <w:rFonts w:asciiTheme="majorBidi" w:hAnsiTheme="majorBidi" w:cstheme="majorBidi"/>
          <w:sz w:val="28"/>
          <w:szCs w:val="28"/>
        </w:rPr>
        <w:t>rea</w:t>
      </w:r>
      <w:r w:rsidR="00F703AC" w:rsidRPr="00DE02BC">
        <w:rPr>
          <w:rFonts w:asciiTheme="majorBidi" w:hAnsiTheme="majorBidi" w:cstheme="majorBidi"/>
          <w:sz w:val="28"/>
          <w:szCs w:val="28"/>
        </w:rPr>
        <w:t>t</w:t>
      </w:r>
      <w:r w:rsidR="00205F15">
        <w:rPr>
          <w:rFonts w:asciiTheme="majorBidi" w:hAnsiTheme="majorBidi" w:cstheme="majorBidi"/>
          <w:sz w:val="28"/>
          <w:szCs w:val="28"/>
        </w:rPr>
        <w:t>men</w:t>
      </w:r>
      <w:r w:rsidR="00F703AC" w:rsidRPr="00DE02BC">
        <w:rPr>
          <w:rFonts w:asciiTheme="majorBidi" w:hAnsiTheme="majorBidi" w:cstheme="majorBidi"/>
          <w:sz w:val="28"/>
          <w:szCs w:val="28"/>
        </w:rPr>
        <w:t>t of</w:t>
      </w:r>
      <w:r w:rsidR="00205F15">
        <w:rPr>
          <w:rFonts w:asciiTheme="majorBidi" w:hAnsiTheme="majorBidi" w:cstheme="majorBidi"/>
          <w:sz w:val="28"/>
          <w:szCs w:val="28"/>
        </w:rPr>
        <w:t xml:space="preserve"> </w:t>
      </w:r>
      <w:r w:rsidR="00F703AC" w:rsidRPr="00DE02BC">
        <w:rPr>
          <w:rFonts w:asciiTheme="majorBidi" w:hAnsiTheme="majorBidi" w:cstheme="majorBidi"/>
          <w:sz w:val="28"/>
          <w:szCs w:val="28"/>
        </w:rPr>
        <w:t xml:space="preserve"> </w:t>
      </w:r>
      <w:proofErr w:type="spellStart"/>
      <w:r w:rsidR="00205F15">
        <w:rPr>
          <w:rFonts w:asciiTheme="majorBidi" w:hAnsiTheme="majorBidi" w:cstheme="majorBidi"/>
          <w:sz w:val="28"/>
          <w:szCs w:val="28"/>
        </w:rPr>
        <w:t>v</w:t>
      </w:r>
      <w:r w:rsidR="00205F15" w:rsidRPr="00DE02BC">
        <w:rPr>
          <w:rFonts w:asciiTheme="majorBidi" w:hAnsiTheme="majorBidi" w:cstheme="majorBidi"/>
          <w:sz w:val="28"/>
          <w:szCs w:val="28"/>
        </w:rPr>
        <w:t>arity</w:t>
      </w:r>
      <w:proofErr w:type="spellEnd"/>
      <w:r w:rsidR="00F703AC" w:rsidRPr="00DE02BC">
        <w:rPr>
          <w:rFonts w:asciiTheme="majorBidi" w:hAnsiTheme="majorBidi" w:cstheme="majorBidi"/>
          <w:sz w:val="28"/>
          <w:szCs w:val="28"/>
        </w:rPr>
        <w:t xml:space="preserve"> of hematological  and </w:t>
      </w:r>
      <w:proofErr w:type="spellStart"/>
      <w:r w:rsidR="00F703AC" w:rsidRPr="00DE02BC">
        <w:rPr>
          <w:rFonts w:asciiTheme="majorBidi" w:hAnsiTheme="majorBidi" w:cstheme="majorBidi"/>
          <w:sz w:val="28"/>
          <w:szCs w:val="28"/>
        </w:rPr>
        <w:t>nonhematological</w:t>
      </w:r>
      <w:proofErr w:type="spellEnd"/>
      <w:r w:rsidR="00F703AC" w:rsidRPr="00DE02BC">
        <w:rPr>
          <w:rFonts w:asciiTheme="majorBidi" w:hAnsiTheme="majorBidi" w:cstheme="majorBidi"/>
          <w:sz w:val="28"/>
          <w:szCs w:val="28"/>
        </w:rPr>
        <w:t xml:space="preserve"> malignancies.</w:t>
      </w:r>
    </w:p>
    <w:p w:rsidR="00E642E7" w:rsidRDefault="00DE02BC" w:rsidP="00E642E7">
      <w:pPr>
        <w:rPr>
          <w:rFonts w:asciiTheme="majorBidi" w:hAnsiTheme="majorBidi" w:cstheme="majorBidi"/>
          <w:sz w:val="28"/>
          <w:szCs w:val="28"/>
          <w:lang w:bidi="ar-IQ"/>
        </w:rPr>
      </w:pPr>
      <w:r>
        <w:rPr>
          <w:rFonts w:asciiTheme="majorBidi" w:hAnsiTheme="majorBidi" w:cstheme="majorBidi"/>
          <w:sz w:val="28"/>
          <w:szCs w:val="28"/>
          <w:lang w:bidi="ar-IQ"/>
        </w:rPr>
        <w:t xml:space="preserve">Methotrexate is the classic antimetabolite of folic acid </w:t>
      </w:r>
      <w:r w:rsidR="00E642E7">
        <w:rPr>
          <w:rFonts w:asciiTheme="majorBidi" w:hAnsiTheme="majorBidi" w:cstheme="majorBidi"/>
          <w:sz w:val="28"/>
          <w:szCs w:val="28"/>
          <w:lang w:bidi="ar-IQ"/>
        </w:rPr>
        <w:t xml:space="preserve">structurally derived by N-methylation of </w:t>
      </w:r>
      <w:proofErr w:type="spellStart"/>
      <w:r w:rsidR="00E642E7">
        <w:rPr>
          <w:rFonts w:asciiTheme="majorBidi" w:hAnsiTheme="majorBidi" w:cstheme="majorBidi"/>
          <w:sz w:val="28"/>
          <w:szCs w:val="28"/>
          <w:lang w:bidi="ar-IQ"/>
        </w:rPr>
        <w:t>para-aminobenzoic</w:t>
      </w:r>
      <w:proofErr w:type="spellEnd"/>
      <w:r w:rsidR="00E642E7">
        <w:rPr>
          <w:rFonts w:asciiTheme="majorBidi" w:hAnsiTheme="majorBidi" w:cstheme="majorBidi"/>
          <w:sz w:val="28"/>
          <w:szCs w:val="28"/>
          <w:lang w:bidi="ar-IQ"/>
        </w:rPr>
        <w:t xml:space="preserve"> acid residue(PABA) and replacement of a </w:t>
      </w:r>
      <w:proofErr w:type="spellStart"/>
      <w:r w:rsidR="00E642E7">
        <w:rPr>
          <w:rFonts w:asciiTheme="majorBidi" w:hAnsiTheme="majorBidi" w:cstheme="majorBidi"/>
          <w:sz w:val="28"/>
          <w:szCs w:val="28"/>
          <w:lang w:bidi="ar-IQ"/>
        </w:rPr>
        <w:t>pteridine</w:t>
      </w:r>
      <w:proofErr w:type="spellEnd"/>
      <w:r w:rsidR="00E642E7">
        <w:rPr>
          <w:rFonts w:asciiTheme="majorBidi" w:hAnsiTheme="majorBidi" w:cstheme="majorBidi"/>
          <w:sz w:val="28"/>
          <w:szCs w:val="28"/>
          <w:lang w:bidi="ar-IQ"/>
        </w:rPr>
        <w:t xml:space="preserve"> hydroxyl by the </w:t>
      </w:r>
      <w:proofErr w:type="spellStart"/>
      <w:r w:rsidR="00E642E7">
        <w:rPr>
          <w:rFonts w:asciiTheme="majorBidi" w:hAnsiTheme="majorBidi" w:cstheme="majorBidi"/>
          <w:sz w:val="28"/>
          <w:szCs w:val="28"/>
          <w:lang w:bidi="ar-IQ"/>
        </w:rPr>
        <w:t>bioisosteric</w:t>
      </w:r>
      <w:proofErr w:type="spellEnd"/>
      <w:r w:rsidR="00E642E7">
        <w:rPr>
          <w:rFonts w:asciiTheme="majorBidi" w:hAnsiTheme="majorBidi" w:cstheme="majorBidi"/>
          <w:sz w:val="28"/>
          <w:szCs w:val="28"/>
          <w:lang w:bidi="ar-IQ"/>
        </w:rPr>
        <w:t xml:space="preserve"> amino group.</w:t>
      </w:r>
    </w:p>
    <w:p w:rsidR="00E642E7" w:rsidRDefault="00E642E7" w:rsidP="001B2D76">
      <w:pPr>
        <w:jc w:val="center"/>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14:anchorId="5AB08ED0" wp14:editId="4263B780">
            <wp:extent cx="4591050" cy="15240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9531" cy="1526815"/>
                    </a:xfrm>
                    <a:prstGeom prst="rect">
                      <a:avLst/>
                    </a:prstGeom>
                    <a:noFill/>
                  </pic:spPr>
                </pic:pic>
              </a:graphicData>
            </a:graphic>
          </wp:inline>
        </w:drawing>
      </w:r>
    </w:p>
    <w:p w:rsidR="00E642E7" w:rsidRPr="005E77DB" w:rsidRDefault="00E642E7" w:rsidP="00DE02BC">
      <w:pPr>
        <w:rPr>
          <w:rFonts w:asciiTheme="majorBidi" w:hAnsiTheme="majorBidi" w:cstheme="majorBidi"/>
          <w:sz w:val="28"/>
          <w:szCs w:val="28"/>
          <w:lang w:bidi="ar-IQ"/>
        </w:rPr>
      </w:pPr>
      <w:r>
        <w:rPr>
          <w:rFonts w:asciiTheme="majorBidi" w:hAnsiTheme="majorBidi" w:cstheme="majorBidi"/>
          <w:sz w:val="28"/>
          <w:szCs w:val="28"/>
          <w:lang w:bidi="ar-IQ"/>
        </w:rPr>
        <w:t xml:space="preserve">The conversion </w:t>
      </w:r>
      <w:r w:rsidR="005E77DB">
        <w:rPr>
          <w:rFonts w:asciiTheme="majorBidi" w:hAnsiTheme="majorBidi" w:cstheme="majorBidi"/>
          <w:sz w:val="28"/>
          <w:szCs w:val="28"/>
          <w:lang w:bidi="ar-IQ"/>
        </w:rPr>
        <w:t>of –OH to  -NH</w:t>
      </w:r>
      <w:r w:rsidR="005E77DB" w:rsidRPr="005E77DB">
        <w:rPr>
          <w:rFonts w:asciiTheme="majorBidi" w:hAnsiTheme="majorBidi" w:cstheme="majorBidi"/>
          <w:sz w:val="28"/>
          <w:szCs w:val="28"/>
          <w:vertAlign w:val="subscript"/>
          <w:lang w:bidi="ar-IQ"/>
        </w:rPr>
        <w:t>2</w:t>
      </w:r>
      <w:r w:rsidR="005E77DB">
        <w:rPr>
          <w:rFonts w:asciiTheme="majorBidi" w:hAnsiTheme="majorBidi" w:cstheme="majorBidi"/>
          <w:sz w:val="28"/>
          <w:szCs w:val="28"/>
          <w:vertAlign w:val="subscript"/>
          <w:lang w:bidi="ar-IQ"/>
        </w:rPr>
        <w:t xml:space="preserve"> </w:t>
      </w:r>
      <w:r w:rsidR="005E77DB">
        <w:rPr>
          <w:rFonts w:asciiTheme="majorBidi" w:hAnsiTheme="majorBidi" w:cstheme="majorBidi"/>
          <w:sz w:val="28"/>
          <w:szCs w:val="28"/>
          <w:lang w:bidi="ar-IQ"/>
        </w:rPr>
        <w:t xml:space="preserve"> increases the basicity of  N-3</w:t>
      </w:r>
      <w:r w:rsidR="005A6905">
        <w:rPr>
          <w:rFonts w:asciiTheme="majorBidi" w:hAnsiTheme="majorBidi" w:cstheme="majorBidi"/>
          <w:sz w:val="28"/>
          <w:szCs w:val="28"/>
          <w:lang w:bidi="ar-IQ"/>
        </w:rPr>
        <w:t xml:space="preserve"> and yields greater enzyme affinity. This drug competitively inhibits the binding of the substrate folic acid to the enzyme DHFR, resulting in the reductions in the synthesis of nucleic acid bases, perhaps most importantly, the conversion of </w:t>
      </w:r>
      <w:proofErr w:type="spellStart"/>
      <w:r w:rsidR="005A6905">
        <w:rPr>
          <w:rFonts w:asciiTheme="majorBidi" w:hAnsiTheme="majorBidi" w:cstheme="majorBidi"/>
          <w:sz w:val="28"/>
          <w:szCs w:val="28"/>
          <w:lang w:bidi="ar-IQ"/>
        </w:rPr>
        <w:t>uridylate</w:t>
      </w:r>
      <w:proofErr w:type="spellEnd"/>
      <w:r w:rsidR="005A6905">
        <w:rPr>
          <w:rFonts w:asciiTheme="majorBidi" w:hAnsiTheme="majorBidi" w:cstheme="majorBidi"/>
          <w:sz w:val="28"/>
          <w:szCs w:val="28"/>
          <w:lang w:bidi="ar-IQ"/>
        </w:rPr>
        <w:t xml:space="preserve"> to </w:t>
      </w:r>
      <w:proofErr w:type="spellStart"/>
      <w:r w:rsidR="005A6905">
        <w:rPr>
          <w:rFonts w:asciiTheme="majorBidi" w:hAnsiTheme="majorBidi" w:cstheme="majorBidi"/>
          <w:sz w:val="28"/>
          <w:szCs w:val="28"/>
          <w:lang w:bidi="ar-IQ"/>
        </w:rPr>
        <w:t>thymidylate</w:t>
      </w:r>
      <w:proofErr w:type="spellEnd"/>
      <w:r w:rsidR="005A6905">
        <w:rPr>
          <w:rFonts w:asciiTheme="majorBidi" w:hAnsiTheme="majorBidi" w:cstheme="majorBidi"/>
          <w:sz w:val="28"/>
          <w:szCs w:val="28"/>
          <w:lang w:bidi="ar-IQ"/>
        </w:rPr>
        <w:t xml:space="preserve"> as catalyzed by </w:t>
      </w:r>
      <w:proofErr w:type="spellStart"/>
      <w:r w:rsidR="005A6905">
        <w:rPr>
          <w:rFonts w:asciiTheme="majorBidi" w:hAnsiTheme="majorBidi" w:cstheme="majorBidi"/>
          <w:sz w:val="28"/>
          <w:szCs w:val="28"/>
          <w:lang w:bidi="ar-IQ"/>
        </w:rPr>
        <w:t>thymidylate</w:t>
      </w:r>
      <w:proofErr w:type="spellEnd"/>
      <w:r w:rsidR="005A6905">
        <w:rPr>
          <w:rFonts w:asciiTheme="majorBidi" w:hAnsiTheme="majorBidi" w:cstheme="majorBidi"/>
          <w:sz w:val="28"/>
          <w:szCs w:val="28"/>
          <w:lang w:bidi="ar-IQ"/>
        </w:rPr>
        <w:t xml:space="preserve"> </w:t>
      </w:r>
      <w:proofErr w:type="spellStart"/>
      <w:r w:rsidR="005A6905">
        <w:rPr>
          <w:rFonts w:asciiTheme="majorBidi" w:hAnsiTheme="majorBidi" w:cstheme="majorBidi"/>
          <w:sz w:val="28"/>
          <w:szCs w:val="28"/>
          <w:lang w:bidi="ar-IQ"/>
        </w:rPr>
        <w:t>synthetase</w:t>
      </w:r>
      <w:proofErr w:type="spellEnd"/>
      <w:r w:rsidR="005A6905">
        <w:rPr>
          <w:rFonts w:asciiTheme="majorBidi" w:hAnsiTheme="majorBidi" w:cstheme="majorBidi"/>
          <w:sz w:val="28"/>
          <w:szCs w:val="28"/>
          <w:lang w:bidi="ar-IQ"/>
        </w:rPr>
        <w:t>.</w:t>
      </w:r>
      <w:r w:rsidR="00AF7C2B">
        <w:rPr>
          <w:rFonts w:asciiTheme="majorBidi" w:hAnsiTheme="majorBidi" w:cstheme="majorBidi"/>
          <w:sz w:val="28"/>
          <w:szCs w:val="28"/>
          <w:lang w:bidi="ar-IQ"/>
        </w:rPr>
        <w:t xml:space="preserve"> In addition, purine synthesis is inhibited because the N-10-Formyl </w:t>
      </w:r>
      <w:proofErr w:type="spellStart"/>
      <w:r w:rsidR="00AF7C2B">
        <w:rPr>
          <w:rFonts w:asciiTheme="majorBidi" w:hAnsiTheme="majorBidi" w:cstheme="majorBidi"/>
          <w:sz w:val="28"/>
          <w:szCs w:val="28"/>
          <w:lang w:bidi="ar-IQ"/>
        </w:rPr>
        <w:t>tetrahydrofolic</w:t>
      </w:r>
      <w:proofErr w:type="spellEnd"/>
      <w:r w:rsidR="00AF7C2B">
        <w:rPr>
          <w:rFonts w:asciiTheme="majorBidi" w:hAnsiTheme="majorBidi" w:cstheme="majorBidi"/>
          <w:sz w:val="28"/>
          <w:szCs w:val="28"/>
          <w:lang w:bidi="ar-IQ"/>
        </w:rPr>
        <w:t xml:space="preserve"> acid is a </w:t>
      </w:r>
      <w:proofErr w:type="spellStart"/>
      <w:r w:rsidR="00AF7C2B">
        <w:rPr>
          <w:rFonts w:asciiTheme="majorBidi" w:hAnsiTheme="majorBidi" w:cstheme="majorBidi"/>
          <w:sz w:val="28"/>
          <w:szCs w:val="28"/>
          <w:lang w:bidi="ar-IQ"/>
        </w:rPr>
        <w:t>formyl</w:t>
      </w:r>
      <w:proofErr w:type="spellEnd"/>
      <w:r w:rsidR="00AF7C2B">
        <w:rPr>
          <w:rFonts w:asciiTheme="majorBidi" w:hAnsiTheme="majorBidi" w:cstheme="majorBidi"/>
          <w:sz w:val="28"/>
          <w:szCs w:val="28"/>
          <w:lang w:bidi="ar-IQ"/>
        </w:rPr>
        <w:t xml:space="preserve"> donor involved in purine synthesis.</w:t>
      </w:r>
      <w:r w:rsidR="005A6905">
        <w:rPr>
          <w:rFonts w:asciiTheme="majorBidi" w:hAnsiTheme="majorBidi" w:cstheme="majorBidi"/>
          <w:sz w:val="28"/>
          <w:szCs w:val="28"/>
          <w:lang w:bidi="ar-IQ"/>
        </w:rPr>
        <w:t xml:space="preserve">  </w:t>
      </w:r>
    </w:p>
    <w:p w:rsidR="001B2D76" w:rsidRDefault="001B2D76" w:rsidP="001B2D76">
      <w:pPr>
        <w:rPr>
          <w:rFonts w:asciiTheme="majorBidi" w:hAnsiTheme="majorBidi" w:cstheme="majorBidi"/>
          <w:sz w:val="28"/>
          <w:szCs w:val="28"/>
          <w:lang w:bidi="ar-IQ"/>
        </w:rPr>
      </w:pPr>
      <w:r w:rsidRPr="001B2D76">
        <w:rPr>
          <w:rFonts w:asciiTheme="majorBidi" w:hAnsiTheme="majorBidi" w:cstheme="majorBidi"/>
          <w:color w:val="FF0000"/>
          <w:sz w:val="28"/>
          <w:szCs w:val="28"/>
          <w:lang w:bidi="ar-IQ"/>
        </w:rPr>
        <w:t>Mechanism of action of folic acid antagonist</w:t>
      </w:r>
      <w:r w:rsidRPr="001B2D76">
        <w:rPr>
          <w:rFonts w:asciiTheme="majorBidi" w:hAnsiTheme="majorBidi" w:cstheme="majorBidi"/>
          <w:color w:val="FF0000"/>
          <w:sz w:val="28"/>
          <w:szCs w:val="28"/>
          <w:lang w:bidi="ar-IQ"/>
        </w:rPr>
        <w:br/>
      </w:r>
      <w:r>
        <w:rPr>
          <w:rFonts w:asciiTheme="majorBidi" w:hAnsiTheme="majorBidi" w:cstheme="majorBidi"/>
          <w:sz w:val="28"/>
          <w:szCs w:val="28"/>
          <w:lang w:bidi="ar-IQ"/>
        </w:rPr>
        <w:t xml:space="preserve">                                     </w:t>
      </w:r>
      <w:r w:rsidRPr="001B2D76">
        <w:rPr>
          <w:rFonts w:asciiTheme="majorBidi" w:hAnsiTheme="majorBidi" w:cstheme="majorBidi"/>
          <w:sz w:val="28"/>
          <w:szCs w:val="28"/>
          <w:lang w:bidi="ar-IQ"/>
        </w:rPr>
        <w:t>folic acid antagonist</w:t>
      </w:r>
      <w:r w:rsidRPr="001B2D76">
        <w:rPr>
          <w:rFonts w:asciiTheme="majorBidi" w:hAnsiTheme="majorBidi" w:cstheme="majorBidi"/>
          <w:sz w:val="28"/>
          <w:szCs w:val="28"/>
          <w:lang w:bidi="ar-IQ"/>
        </w:rPr>
        <w:br/>
      </w:r>
      <w:r>
        <w:rPr>
          <w:rFonts w:asciiTheme="majorBidi" w:hAnsiTheme="majorBidi" w:cstheme="majorBidi"/>
          <w:sz w:val="28"/>
          <w:szCs w:val="28"/>
          <w:lang w:bidi="ar-IQ"/>
        </w:rPr>
        <w:t xml:space="preserve">                                                    ↓</w:t>
      </w:r>
      <w:r w:rsidRPr="001B2D76">
        <w:rPr>
          <w:rFonts w:asciiTheme="majorBidi" w:hAnsiTheme="majorBidi" w:cstheme="majorBidi"/>
          <w:sz w:val="28"/>
          <w:szCs w:val="28"/>
          <w:lang w:bidi="ar-IQ"/>
        </w:rPr>
        <w:br/>
      </w:r>
      <w:r>
        <w:rPr>
          <w:rFonts w:asciiTheme="majorBidi" w:hAnsiTheme="majorBidi" w:cstheme="majorBidi"/>
          <w:sz w:val="28"/>
          <w:szCs w:val="28"/>
          <w:lang w:bidi="ar-IQ"/>
        </w:rPr>
        <w:t xml:space="preserve">                                     </w:t>
      </w:r>
      <w:r w:rsidRPr="001B2D76">
        <w:rPr>
          <w:rFonts w:asciiTheme="majorBidi" w:hAnsiTheme="majorBidi" w:cstheme="majorBidi"/>
          <w:sz w:val="28"/>
          <w:szCs w:val="28"/>
          <w:lang w:bidi="ar-IQ"/>
        </w:rPr>
        <w:t xml:space="preserve">limiting </w:t>
      </w:r>
      <w:proofErr w:type="spellStart"/>
      <w:r w:rsidRPr="001B2D76">
        <w:rPr>
          <w:rFonts w:asciiTheme="majorBidi" w:hAnsiTheme="majorBidi" w:cstheme="majorBidi"/>
          <w:sz w:val="28"/>
          <w:szCs w:val="28"/>
          <w:lang w:bidi="ar-IQ"/>
        </w:rPr>
        <w:t>thymidylate</w:t>
      </w:r>
      <w:proofErr w:type="spellEnd"/>
      <w:r w:rsidRPr="001B2D76">
        <w:rPr>
          <w:rFonts w:asciiTheme="majorBidi" w:hAnsiTheme="majorBidi" w:cstheme="majorBidi"/>
          <w:sz w:val="28"/>
          <w:szCs w:val="28"/>
          <w:lang w:bidi="ar-IQ"/>
        </w:rPr>
        <w:t xml:space="preserve">  synthesis</w:t>
      </w:r>
      <w:r w:rsidRPr="001B2D76">
        <w:rPr>
          <w:rFonts w:asciiTheme="majorBidi" w:hAnsiTheme="majorBidi" w:cstheme="majorBidi"/>
          <w:sz w:val="28"/>
          <w:szCs w:val="28"/>
          <w:lang w:bidi="ar-IQ"/>
        </w:rPr>
        <w:br/>
      </w:r>
      <w:r>
        <w:rPr>
          <w:rFonts w:asciiTheme="majorBidi" w:hAnsiTheme="majorBidi" w:cstheme="majorBidi"/>
          <w:sz w:val="28"/>
          <w:szCs w:val="28"/>
          <w:lang w:bidi="ar-IQ"/>
        </w:rPr>
        <w:t xml:space="preserve">                                                    ↓</w:t>
      </w:r>
      <w:r w:rsidRPr="001B2D76">
        <w:rPr>
          <w:rFonts w:asciiTheme="majorBidi" w:hAnsiTheme="majorBidi" w:cstheme="majorBidi"/>
          <w:sz w:val="28"/>
          <w:szCs w:val="28"/>
          <w:lang w:bidi="ar-IQ"/>
        </w:rPr>
        <w:br/>
      </w:r>
      <w:r>
        <w:rPr>
          <w:rFonts w:asciiTheme="majorBidi" w:hAnsiTheme="majorBidi" w:cstheme="majorBidi"/>
          <w:sz w:val="28"/>
          <w:szCs w:val="28"/>
          <w:lang w:bidi="ar-IQ"/>
        </w:rPr>
        <w:t xml:space="preserve">                                       </w:t>
      </w:r>
      <w:r w:rsidRPr="001B2D76">
        <w:rPr>
          <w:rFonts w:asciiTheme="majorBidi" w:hAnsiTheme="majorBidi" w:cstheme="majorBidi"/>
          <w:sz w:val="28"/>
          <w:szCs w:val="28"/>
          <w:lang w:bidi="ar-IQ"/>
        </w:rPr>
        <w:t>prevent  DNA synthesis</w:t>
      </w:r>
      <w:r w:rsidRPr="001B2D76">
        <w:rPr>
          <w:rFonts w:asciiTheme="majorBidi" w:hAnsiTheme="majorBidi" w:cstheme="majorBidi"/>
          <w:sz w:val="28"/>
          <w:szCs w:val="28"/>
          <w:lang w:bidi="ar-IQ"/>
        </w:rPr>
        <w:br/>
      </w:r>
      <w:r>
        <w:rPr>
          <w:rFonts w:asciiTheme="majorBidi" w:hAnsiTheme="majorBidi" w:cstheme="majorBidi"/>
          <w:sz w:val="28"/>
          <w:szCs w:val="28"/>
          <w:lang w:bidi="ar-IQ"/>
        </w:rPr>
        <w:t xml:space="preserve">                                                    ↓</w:t>
      </w:r>
      <w:r w:rsidRPr="001B2D76">
        <w:rPr>
          <w:rFonts w:asciiTheme="majorBidi" w:hAnsiTheme="majorBidi" w:cstheme="majorBidi"/>
          <w:sz w:val="28"/>
          <w:szCs w:val="28"/>
          <w:lang w:bidi="ar-IQ"/>
        </w:rPr>
        <w:br/>
      </w:r>
      <w:r>
        <w:rPr>
          <w:rFonts w:asciiTheme="majorBidi" w:hAnsiTheme="majorBidi" w:cstheme="majorBidi"/>
          <w:sz w:val="28"/>
          <w:szCs w:val="28"/>
          <w:lang w:bidi="ar-IQ"/>
        </w:rPr>
        <w:t xml:space="preserve">                                                kill cells</w:t>
      </w:r>
      <w:r w:rsidRPr="001B2D76">
        <w:rPr>
          <w:rFonts w:asciiTheme="majorBidi" w:hAnsiTheme="majorBidi" w:cstheme="majorBidi"/>
          <w:sz w:val="28"/>
          <w:szCs w:val="28"/>
          <w:lang w:bidi="ar-IQ"/>
        </w:rPr>
        <w:br/>
      </w:r>
      <w:r>
        <w:rPr>
          <w:rFonts w:asciiTheme="majorBidi" w:hAnsiTheme="majorBidi" w:cstheme="majorBidi"/>
          <w:sz w:val="28"/>
          <w:szCs w:val="28"/>
          <w:lang w:bidi="ar-IQ"/>
        </w:rPr>
        <w:t>T</w:t>
      </w:r>
      <w:r w:rsidRPr="001B2D76">
        <w:rPr>
          <w:rFonts w:asciiTheme="majorBidi" w:hAnsiTheme="majorBidi" w:cstheme="majorBidi"/>
          <w:sz w:val="28"/>
          <w:szCs w:val="28"/>
          <w:lang w:bidi="ar-IQ"/>
        </w:rPr>
        <w:t xml:space="preserve">his effect  has been termed  </w:t>
      </w:r>
      <w:proofErr w:type="spellStart"/>
      <w:r w:rsidRPr="001B2D76">
        <w:rPr>
          <w:rFonts w:asciiTheme="majorBidi" w:hAnsiTheme="majorBidi" w:cstheme="majorBidi"/>
          <w:sz w:val="28"/>
          <w:szCs w:val="28"/>
          <w:lang w:bidi="ar-IQ"/>
        </w:rPr>
        <w:t>thymineless</w:t>
      </w:r>
      <w:proofErr w:type="spellEnd"/>
      <w:r w:rsidRPr="001B2D76">
        <w:rPr>
          <w:rFonts w:asciiTheme="majorBidi" w:hAnsiTheme="majorBidi" w:cstheme="majorBidi"/>
          <w:sz w:val="28"/>
          <w:szCs w:val="28"/>
          <w:lang w:bidi="ar-IQ"/>
        </w:rPr>
        <w:t xml:space="preserve">  death</w:t>
      </w:r>
      <w:r>
        <w:rPr>
          <w:rFonts w:asciiTheme="majorBidi" w:hAnsiTheme="majorBidi" w:cstheme="majorBidi"/>
          <w:sz w:val="28"/>
          <w:szCs w:val="28"/>
          <w:lang w:bidi="ar-IQ"/>
        </w:rPr>
        <w:t>.</w:t>
      </w:r>
    </w:p>
    <w:p w:rsidR="00E642E7" w:rsidRDefault="001B2D76" w:rsidP="00E51FD9">
      <w:pPr>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w:t>
      </w:r>
      <w:r w:rsidR="00E51FD9">
        <w:rPr>
          <w:rFonts w:asciiTheme="majorBidi" w:hAnsiTheme="majorBidi" w:cstheme="majorBidi"/>
          <w:sz w:val="28"/>
          <w:szCs w:val="28"/>
          <w:lang w:bidi="ar-IQ"/>
        </w:rPr>
        <w:t>Methotrexate inhibits DHFR enzyme,</w:t>
      </w:r>
      <w:r w:rsidR="00B568C9">
        <w:rPr>
          <w:rFonts w:asciiTheme="majorBidi" w:hAnsiTheme="majorBidi" w:cstheme="majorBidi"/>
          <w:sz w:val="28"/>
          <w:szCs w:val="28"/>
          <w:lang w:bidi="ar-IQ"/>
        </w:rPr>
        <w:t xml:space="preserve"> </w:t>
      </w:r>
      <w:r w:rsidR="00E51FD9">
        <w:rPr>
          <w:rFonts w:asciiTheme="majorBidi" w:hAnsiTheme="majorBidi" w:cstheme="majorBidi"/>
          <w:sz w:val="28"/>
          <w:szCs w:val="28"/>
          <w:lang w:bidi="ar-IQ"/>
        </w:rPr>
        <w:t>therefore, it inhibits the synthesis of DNA, RNA &amp; Proteins.</w:t>
      </w:r>
    </w:p>
    <w:p w:rsidR="00B568C9" w:rsidRDefault="00B568C9" w:rsidP="00E51FD9">
      <w:pPr>
        <w:rPr>
          <w:rFonts w:asciiTheme="majorBidi" w:hAnsiTheme="majorBidi" w:cstheme="majorBidi"/>
          <w:sz w:val="28"/>
          <w:szCs w:val="28"/>
          <w:lang w:bidi="ar-IQ"/>
        </w:rPr>
      </w:pPr>
      <w:r>
        <w:rPr>
          <w:rFonts w:asciiTheme="majorBidi" w:hAnsiTheme="majorBidi" w:cstheme="majorBidi"/>
          <w:sz w:val="28"/>
          <w:szCs w:val="28"/>
          <w:lang w:bidi="ar-IQ"/>
        </w:rPr>
        <w:t xml:space="preserve">DHFR </w:t>
      </w:r>
      <w:proofErr w:type="spellStart"/>
      <w:r>
        <w:rPr>
          <w:rFonts w:asciiTheme="majorBidi" w:hAnsiTheme="majorBidi" w:cstheme="majorBidi"/>
          <w:sz w:val="28"/>
          <w:szCs w:val="28"/>
          <w:lang w:bidi="ar-IQ"/>
        </w:rPr>
        <w:t>catalyses</w:t>
      </w:r>
      <w:proofErr w:type="spellEnd"/>
      <w:r>
        <w:rPr>
          <w:rFonts w:asciiTheme="majorBidi" w:hAnsiTheme="majorBidi" w:cstheme="majorBidi"/>
          <w:sz w:val="28"/>
          <w:szCs w:val="28"/>
          <w:lang w:bidi="ar-IQ"/>
        </w:rPr>
        <w:t xml:space="preserve"> the conversion of FH</w:t>
      </w:r>
      <w:r w:rsidRPr="00B568C9">
        <w:rPr>
          <w:rFonts w:asciiTheme="majorBidi" w:hAnsiTheme="majorBidi" w:cstheme="majorBidi"/>
          <w:sz w:val="28"/>
          <w:szCs w:val="28"/>
          <w:vertAlign w:val="subscript"/>
          <w:lang w:bidi="ar-IQ"/>
        </w:rPr>
        <w:t>2</w:t>
      </w:r>
      <w:r>
        <w:rPr>
          <w:rFonts w:asciiTheme="majorBidi" w:hAnsiTheme="majorBidi" w:cstheme="majorBidi"/>
          <w:sz w:val="28"/>
          <w:szCs w:val="28"/>
          <w:lang w:bidi="ar-IQ"/>
        </w:rPr>
        <w:t xml:space="preserve"> to the active FH</w:t>
      </w:r>
      <w:r w:rsidRPr="00B568C9">
        <w:rPr>
          <w:rFonts w:asciiTheme="majorBidi" w:hAnsiTheme="majorBidi" w:cstheme="majorBidi"/>
          <w:sz w:val="28"/>
          <w:szCs w:val="28"/>
          <w:vertAlign w:val="subscript"/>
          <w:lang w:bidi="ar-IQ"/>
        </w:rPr>
        <w:t>4</w:t>
      </w:r>
      <w:r>
        <w:rPr>
          <w:rFonts w:asciiTheme="majorBidi" w:hAnsiTheme="majorBidi" w:cstheme="majorBidi"/>
          <w:sz w:val="28"/>
          <w:szCs w:val="28"/>
          <w:lang w:bidi="ar-IQ"/>
        </w:rPr>
        <w:t xml:space="preserve"> which is needed for the de novo synthesis of </w:t>
      </w:r>
      <w:proofErr w:type="spellStart"/>
      <w:r>
        <w:rPr>
          <w:rFonts w:asciiTheme="majorBidi" w:hAnsiTheme="majorBidi" w:cstheme="majorBidi"/>
          <w:sz w:val="28"/>
          <w:szCs w:val="28"/>
          <w:lang w:bidi="ar-IQ"/>
        </w:rPr>
        <w:t>deoxynucleoside</w:t>
      </w:r>
      <w:proofErr w:type="spellEnd"/>
      <w:r>
        <w:rPr>
          <w:rFonts w:asciiTheme="majorBidi" w:hAnsiTheme="majorBidi" w:cstheme="majorBidi"/>
          <w:sz w:val="28"/>
          <w:szCs w:val="28"/>
          <w:lang w:bidi="ar-IQ"/>
        </w:rPr>
        <w:t xml:space="preserve"> thymidine phosphate DTMP(required for DNA synthesis).</w:t>
      </w:r>
    </w:p>
    <w:p w:rsidR="008E5CA5" w:rsidRPr="00B568C9" w:rsidRDefault="00B568C9" w:rsidP="00B568C9">
      <w:pPr>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noProof/>
        </w:rPr>
        <w:drawing>
          <wp:inline distT="0" distB="0" distL="0" distR="0" wp14:anchorId="4E0F4F2B" wp14:editId="3C5D06ED">
            <wp:extent cx="1985252" cy="647700"/>
            <wp:effectExtent l="0" t="0" r="0" b="0"/>
            <wp:docPr id="9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252" cy="647700"/>
                    </a:xfrm>
                    <a:prstGeom prst="rect">
                      <a:avLst/>
                    </a:prstGeom>
                    <a:noFill/>
                    <a:ln>
                      <a:noFill/>
                    </a:ln>
                    <a:effectLst/>
                    <a:extLst/>
                  </pic:spPr>
                </pic:pic>
              </a:graphicData>
            </a:graphic>
          </wp:inline>
        </w:drawing>
      </w:r>
      <w:r w:rsidR="001B2D76">
        <w:rPr>
          <w:rFonts w:asciiTheme="majorBidi" w:hAnsiTheme="majorBidi" w:cstheme="majorBidi"/>
          <w:sz w:val="28"/>
          <w:szCs w:val="28"/>
          <w:lang w:bidi="ar-IQ"/>
        </w:rPr>
        <w:t xml:space="preserve">                                           </w:t>
      </w:r>
    </w:p>
    <w:p w:rsidR="00205F15" w:rsidRPr="00B568C9" w:rsidRDefault="00B568C9" w:rsidP="00205F15">
      <w:pPr>
        <w:rPr>
          <w:b/>
          <w:bCs/>
          <w:noProof/>
        </w:rPr>
      </w:pPr>
      <w:r w:rsidRPr="00B568C9">
        <w:rPr>
          <w:rFonts w:asciiTheme="majorBidi" w:hAnsiTheme="majorBidi" w:cstheme="majorBidi"/>
          <w:b/>
          <w:bCs/>
          <w:sz w:val="24"/>
          <w:szCs w:val="24"/>
          <w:lang w:bidi="ar-IQ"/>
        </w:rPr>
        <w:t xml:space="preserve">                                              </w:t>
      </w:r>
      <w:r w:rsidR="001B2D76" w:rsidRPr="00B568C9">
        <w:rPr>
          <w:rFonts w:asciiTheme="majorBidi" w:hAnsiTheme="majorBidi" w:cstheme="majorBidi"/>
          <w:b/>
          <w:bCs/>
          <w:sz w:val="24"/>
          <w:szCs w:val="24"/>
          <w:lang w:bidi="ar-IQ"/>
        </w:rPr>
        <w:t>Methotrexate</w:t>
      </w:r>
      <w:r w:rsidR="008E5CA5" w:rsidRPr="00B568C9">
        <w:rPr>
          <w:rFonts w:asciiTheme="majorBidi" w:hAnsiTheme="majorBidi" w:cstheme="majorBidi"/>
          <w:b/>
          <w:bCs/>
          <w:sz w:val="24"/>
          <w:szCs w:val="24"/>
          <w:lang w:bidi="ar-IQ"/>
        </w:rPr>
        <w:t xml:space="preserve">    </w:t>
      </w:r>
    </w:p>
    <w:p w:rsidR="00E51FD9" w:rsidRDefault="00B568C9" w:rsidP="00B568C9">
      <w:pPr>
        <w:jc w:val="center"/>
        <w:rPr>
          <w:noProof/>
        </w:rPr>
      </w:pPr>
      <w:r>
        <w:object w:dxaOrig="8069" w:dyaOrig="3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5pt;height:199.25pt" o:ole="">
            <v:imagedata r:id="rId9" o:title=""/>
          </v:shape>
          <o:OLEObject Type="Embed" ProgID="ChemDraw.Document.6.0" ShapeID="_x0000_i1025" DrawAspect="Content" ObjectID="_1744814778" r:id="rId10"/>
        </w:object>
      </w:r>
    </w:p>
    <w:p w:rsidR="00E642E7" w:rsidRDefault="008E5CA5" w:rsidP="008E5CA5">
      <w:pPr>
        <w:rPr>
          <w:rFonts w:asciiTheme="majorBidi" w:hAnsiTheme="majorBidi" w:cstheme="majorBidi"/>
          <w:sz w:val="28"/>
          <w:szCs w:val="28"/>
          <w:lang w:bidi="ar-IQ"/>
        </w:rPr>
      </w:pPr>
      <w:r w:rsidRPr="008E5CA5">
        <w:rPr>
          <w:rFonts w:asciiTheme="majorBidi" w:hAnsiTheme="majorBidi" w:cstheme="majorBidi"/>
          <w:sz w:val="28"/>
          <w:szCs w:val="28"/>
          <w:lang w:bidi="ar-IQ"/>
        </w:rPr>
        <w:t>-High dose from M</w:t>
      </w:r>
      <w:r>
        <w:rPr>
          <w:rFonts w:asciiTheme="majorBidi" w:hAnsiTheme="majorBidi" w:cstheme="majorBidi"/>
          <w:sz w:val="28"/>
          <w:szCs w:val="28"/>
          <w:lang w:bidi="ar-IQ"/>
        </w:rPr>
        <w:t>ethotrexate (M</w:t>
      </w:r>
      <w:r w:rsidRPr="008E5CA5">
        <w:rPr>
          <w:rFonts w:asciiTheme="majorBidi" w:hAnsiTheme="majorBidi" w:cstheme="majorBidi"/>
          <w:sz w:val="28"/>
          <w:szCs w:val="28"/>
          <w:lang w:bidi="ar-IQ"/>
        </w:rPr>
        <w:t>TX</w:t>
      </w:r>
      <w:r>
        <w:rPr>
          <w:rFonts w:asciiTheme="majorBidi" w:hAnsiTheme="majorBidi" w:cstheme="majorBidi"/>
          <w:sz w:val="28"/>
          <w:szCs w:val="28"/>
          <w:lang w:bidi="ar-IQ"/>
        </w:rPr>
        <w:t>)</w:t>
      </w:r>
      <w:r w:rsidRPr="008E5CA5">
        <w:rPr>
          <w:rFonts w:asciiTheme="majorBidi" w:hAnsiTheme="majorBidi" w:cstheme="majorBidi"/>
          <w:sz w:val="28"/>
          <w:szCs w:val="28"/>
          <w:lang w:bidi="ar-IQ"/>
        </w:rPr>
        <w:t xml:space="preserve"> therapy</w:t>
      </w:r>
      <w:r>
        <w:rPr>
          <w:rFonts w:asciiTheme="majorBidi" w:hAnsiTheme="majorBidi" w:cstheme="majorBidi"/>
          <w:sz w:val="28"/>
          <w:szCs w:val="28"/>
          <w:lang w:bidi="ar-IQ"/>
        </w:rPr>
        <w:t>, is</w:t>
      </w:r>
      <w:r w:rsidRPr="008E5CA5">
        <w:rPr>
          <w:rFonts w:asciiTheme="majorBidi" w:hAnsiTheme="majorBidi" w:cstheme="majorBidi"/>
          <w:sz w:val="28"/>
          <w:szCs w:val="28"/>
          <w:lang w:bidi="ar-IQ"/>
        </w:rPr>
        <w:t xml:space="preserve"> associated with sever nephrotoxicity. So, do not administer high dose to patients with abnormal renal function.</w:t>
      </w:r>
    </w:p>
    <w:p w:rsidR="003E4C69" w:rsidRPr="00205F15" w:rsidRDefault="008E5CA5" w:rsidP="00205F15">
      <w:pPr>
        <w:rPr>
          <w:rFonts w:asciiTheme="majorBidi" w:hAnsiTheme="majorBidi" w:cstheme="majorBidi"/>
          <w:sz w:val="28"/>
          <w:szCs w:val="28"/>
          <w:lang w:bidi="ar-IQ"/>
        </w:rPr>
      </w:pPr>
      <w:r w:rsidRPr="008E5CA5">
        <w:rPr>
          <w:rFonts w:asciiTheme="majorBidi" w:hAnsiTheme="majorBidi" w:cstheme="majorBidi"/>
          <w:sz w:val="28"/>
          <w:szCs w:val="28"/>
          <w:lang w:bidi="ar-IQ"/>
        </w:rPr>
        <w:t xml:space="preserve">Interaction between MTX &amp; 5-FU :  </w:t>
      </w:r>
      <w:r w:rsidRPr="008E5CA5">
        <w:rPr>
          <w:rFonts w:asciiTheme="majorBidi" w:hAnsiTheme="majorBidi" w:cstheme="majorBidi"/>
          <w:sz w:val="28"/>
          <w:szCs w:val="28"/>
          <w:lang w:bidi="ar-IQ"/>
        </w:rPr>
        <w:br/>
        <w:t>MTX preceding 5-FU; Synergistic cytotoxicity</w:t>
      </w:r>
      <w:r>
        <w:rPr>
          <w:rFonts w:asciiTheme="majorBidi" w:hAnsiTheme="majorBidi" w:cstheme="majorBidi"/>
          <w:sz w:val="28"/>
          <w:szCs w:val="28"/>
          <w:lang w:bidi="ar-IQ"/>
        </w:rPr>
        <w:t>.</w:t>
      </w:r>
    </w:p>
    <w:p w:rsidR="003E4C69" w:rsidRDefault="003E4C69" w:rsidP="008E5CA5">
      <w:pPr>
        <w:rPr>
          <w:rFonts w:asciiTheme="majorBidi" w:hAnsiTheme="majorBidi" w:cstheme="majorBidi"/>
          <w:sz w:val="28"/>
          <w:szCs w:val="28"/>
          <w:lang w:bidi="ar-IQ"/>
        </w:rPr>
      </w:pPr>
      <w:r>
        <w:rPr>
          <w:noProof/>
        </w:rPr>
        <w:drawing>
          <wp:anchor distT="0" distB="0" distL="114300" distR="114300" simplePos="0" relativeHeight="251658240" behindDoc="0" locked="0" layoutInCell="1" allowOverlap="1" wp14:anchorId="5565B793" wp14:editId="3A4055E0">
            <wp:simplePos x="0" y="0"/>
            <wp:positionH relativeFrom="column">
              <wp:posOffset>992505</wp:posOffset>
            </wp:positionH>
            <wp:positionV relativeFrom="paragraph">
              <wp:posOffset>267970</wp:posOffset>
            </wp:positionV>
            <wp:extent cx="4078605" cy="2313940"/>
            <wp:effectExtent l="0" t="0" r="0" b="0"/>
            <wp:wrapSquare wrapText="bothSides"/>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8605" cy="23139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642E7" w:rsidRDefault="008E5CA5" w:rsidP="008E5CA5">
      <w:pPr>
        <w:rPr>
          <w:rFonts w:asciiTheme="majorBidi" w:hAnsiTheme="majorBidi" w:cstheme="majorBidi"/>
          <w:sz w:val="28"/>
          <w:szCs w:val="28"/>
          <w:lang w:bidi="ar-IQ"/>
        </w:rPr>
      </w:pPr>
      <w:r w:rsidRPr="008E5CA5">
        <w:rPr>
          <w:rFonts w:asciiTheme="majorBidi" w:hAnsiTheme="majorBidi" w:cstheme="majorBidi"/>
          <w:sz w:val="28"/>
          <w:szCs w:val="28"/>
          <w:lang w:bidi="ar-IQ"/>
        </w:rPr>
        <w:br/>
      </w:r>
      <w:r w:rsidRPr="008E5CA5">
        <w:rPr>
          <w:rFonts w:asciiTheme="majorBidi" w:hAnsiTheme="majorBidi" w:cstheme="majorBidi"/>
          <w:sz w:val="28"/>
          <w:szCs w:val="28"/>
          <w:lang w:bidi="ar-IQ"/>
        </w:rPr>
        <w:br/>
      </w:r>
      <w:r w:rsidRPr="008E5CA5">
        <w:rPr>
          <w:rFonts w:asciiTheme="majorBidi" w:hAnsiTheme="majorBidi" w:cstheme="majorBidi"/>
          <w:sz w:val="28"/>
          <w:szCs w:val="28"/>
          <w:lang w:bidi="ar-IQ"/>
        </w:rPr>
        <w:br/>
      </w:r>
    </w:p>
    <w:p w:rsidR="00E642E7" w:rsidRDefault="00E642E7" w:rsidP="00DE02BC">
      <w:pPr>
        <w:rPr>
          <w:rFonts w:asciiTheme="majorBidi" w:hAnsiTheme="majorBidi" w:cstheme="majorBidi"/>
          <w:sz w:val="28"/>
          <w:szCs w:val="28"/>
          <w:lang w:bidi="ar-IQ"/>
        </w:rPr>
      </w:pPr>
    </w:p>
    <w:p w:rsidR="00E642E7" w:rsidRPr="00DE02BC" w:rsidRDefault="00E642E7" w:rsidP="00DE02BC">
      <w:pPr>
        <w:rPr>
          <w:rFonts w:asciiTheme="majorBidi" w:hAnsiTheme="majorBidi" w:cstheme="majorBidi"/>
          <w:sz w:val="28"/>
          <w:szCs w:val="28"/>
          <w:lang w:bidi="ar-IQ"/>
        </w:rPr>
      </w:pPr>
    </w:p>
    <w:p w:rsidR="00DE02BC" w:rsidRPr="00DE02BC" w:rsidRDefault="00DE02BC" w:rsidP="00DE02BC">
      <w:pPr>
        <w:rPr>
          <w:rFonts w:asciiTheme="majorBidi" w:hAnsiTheme="majorBidi" w:cstheme="majorBidi"/>
          <w:sz w:val="28"/>
          <w:szCs w:val="28"/>
        </w:rPr>
      </w:pPr>
    </w:p>
    <w:p w:rsidR="00DE02BC" w:rsidRDefault="00DE02BC" w:rsidP="00DE02BC">
      <w:pPr>
        <w:rPr>
          <w:rFonts w:asciiTheme="majorBidi" w:hAnsiTheme="majorBidi" w:cstheme="majorBidi"/>
          <w:sz w:val="28"/>
          <w:szCs w:val="28"/>
        </w:rPr>
      </w:pPr>
    </w:p>
    <w:p w:rsidR="0041247C" w:rsidRDefault="0041247C" w:rsidP="009657FC">
      <w:pPr>
        <w:rPr>
          <w:rFonts w:asciiTheme="majorBidi" w:hAnsiTheme="majorBidi" w:cstheme="majorBidi"/>
          <w:sz w:val="28"/>
          <w:szCs w:val="28"/>
        </w:rPr>
      </w:pPr>
    </w:p>
    <w:p w:rsidR="00DE02BC" w:rsidRPr="0041247C" w:rsidRDefault="009657FC" w:rsidP="000B3FBF">
      <w:pPr>
        <w:rPr>
          <w:rFonts w:asciiTheme="majorBidi" w:hAnsiTheme="majorBidi" w:cstheme="majorBidi"/>
          <w:sz w:val="28"/>
          <w:szCs w:val="28"/>
        </w:rPr>
      </w:pPr>
      <w:r w:rsidRPr="009657FC">
        <w:rPr>
          <w:rFonts w:asciiTheme="majorBidi" w:hAnsiTheme="majorBidi" w:cstheme="majorBidi"/>
          <w:sz w:val="28"/>
          <w:szCs w:val="28"/>
        </w:rPr>
        <w:t>2-</w:t>
      </w:r>
      <w:r w:rsidR="0041247C" w:rsidRPr="0041247C">
        <w:rPr>
          <w:rFonts w:asciiTheme="majorBidi" w:hAnsiTheme="majorBidi" w:cstheme="majorBidi"/>
          <w:b/>
          <w:bCs/>
          <w:sz w:val="28"/>
          <w:szCs w:val="28"/>
        </w:rPr>
        <w:t>P</w:t>
      </w:r>
      <w:r w:rsidRPr="0041247C">
        <w:rPr>
          <w:rFonts w:asciiTheme="majorBidi" w:hAnsiTheme="majorBidi" w:cstheme="majorBidi"/>
          <w:b/>
          <w:bCs/>
          <w:sz w:val="28"/>
          <w:szCs w:val="28"/>
        </w:rPr>
        <w:t xml:space="preserve">emetrexed   </w:t>
      </w:r>
      <w:r w:rsidRPr="0041247C">
        <w:rPr>
          <w:rFonts w:asciiTheme="majorBidi" w:hAnsiTheme="majorBidi" w:cstheme="majorBidi"/>
          <w:b/>
          <w:bCs/>
          <w:sz w:val="28"/>
          <w:szCs w:val="28"/>
        </w:rPr>
        <w:br/>
      </w:r>
      <w:r w:rsidR="000B3FBF">
        <w:rPr>
          <w:rFonts w:asciiTheme="majorBidi" w:hAnsiTheme="majorBidi" w:cstheme="majorBidi"/>
          <w:sz w:val="28"/>
          <w:szCs w:val="28"/>
        </w:rPr>
        <w:t>* I</w:t>
      </w:r>
      <w:r w:rsidRPr="009657FC">
        <w:rPr>
          <w:rFonts w:asciiTheme="majorBidi" w:hAnsiTheme="majorBidi" w:cstheme="majorBidi"/>
          <w:sz w:val="28"/>
          <w:szCs w:val="28"/>
        </w:rPr>
        <w:t xml:space="preserve">ts </w:t>
      </w:r>
      <w:proofErr w:type="spellStart"/>
      <w:r w:rsidRPr="009657FC">
        <w:rPr>
          <w:rFonts w:asciiTheme="majorBidi" w:hAnsiTheme="majorBidi" w:cstheme="majorBidi"/>
          <w:sz w:val="28"/>
          <w:szCs w:val="28"/>
        </w:rPr>
        <w:t>potents</w:t>
      </w:r>
      <w:proofErr w:type="spellEnd"/>
      <w:r w:rsidRPr="009657FC">
        <w:rPr>
          <w:rFonts w:asciiTheme="majorBidi" w:hAnsiTheme="majorBidi" w:cstheme="majorBidi"/>
          <w:sz w:val="28"/>
          <w:szCs w:val="28"/>
        </w:rPr>
        <w:t xml:space="preserve"> </w:t>
      </w:r>
      <w:proofErr w:type="spellStart"/>
      <w:r w:rsidRPr="009657FC">
        <w:rPr>
          <w:rFonts w:asciiTheme="majorBidi" w:hAnsiTheme="majorBidi" w:cstheme="majorBidi"/>
          <w:sz w:val="28"/>
          <w:szCs w:val="28"/>
        </w:rPr>
        <w:t>T</w:t>
      </w:r>
      <w:r w:rsidR="000B3FBF">
        <w:rPr>
          <w:rFonts w:asciiTheme="majorBidi" w:hAnsiTheme="majorBidi" w:cstheme="majorBidi"/>
          <w:sz w:val="28"/>
          <w:szCs w:val="28"/>
        </w:rPr>
        <w:t>hymidylate</w:t>
      </w:r>
      <w:proofErr w:type="spellEnd"/>
      <w:r w:rsidR="000B3FBF">
        <w:rPr>
          <w:rFonts w:asciiTheme="majorBidi" w:hAnsiTheme="majorBidi" w:cstheme="majorBidi"/>
          <w:sz w:val="28"/>
          <w:szCs w:val="28"/>
        </w:rPr>
        <w:t xml:space="preserve"> </w:t>
      </w:r>
      <w:r w:rsidRPr="009657FC">
        <w:rPr>
          <w:rFonts w:asciiTheme="majorBidi" w:hAnsiTheme="majorBidi" w:cstheme="majorBidi"/>
          <w:sz w:val="28"/>
          <w:szCs w:val="28"/>
        </w:rPr>
        <w:t>S</w:t>
      </w:r>
      <w:r w:rsidR="000B3FBF">
        <w:rPr>
          <w:rFonts w:asciiTheme="majorBidi" w:hAnsiTheme="majorBidi" w:cstheme="majorBidi"/>
          <w:sz w:val="28"/>
          <w:szCs w:val="28"/>
        </w:rPr>
        <w:t>ynthase inhibitor (TS</w:t>
      </w:r>
      <w:r w:rsidRPr="009657FC">
        <w:rPr>
          <w:rFonts w:asciiTheme="majorBidi" w:hAnsiTheme="majorBidi" w:cstheme="majorBidi"/>
          <w:sz w:val="28"/>
          <w:szCs w:val="28"/>
        </w:rPr>
        <w:t xml:space="preserve">-I </w:t>
      </w:r>
      <w:r w:rsidR="000B3FBF">
        <w:rPr>
          <w:rFonts w:asciiTheme="majorBidi" w:hAnsiTheme="majorBidi" w:cstheme="majorBidi"/>
          <w:sz w:val="28"/>
          <w:szCs w:val="28"/>
        </w:rPr>
        <w:t xml:space="preserve">), </w:t>
      </w:r>
      <w:r w:rsidRPr="009657FC">
        <w:rPr>
          <w:rFonts w:asciiTheme="majorBidi" w:hAnsiTheme="majorBidi" w:cstheme="majorBidi"/>
          <w:sz w:val="28"/>
          <w:szCs w:val="28"/>
        </w:rPr>
        <w:t>i</w:t>
      </w:r>
      <w:r w:rsidR="000B3FBF">
        <w:rPr>
          <w:rFonts w:asciiTheme="majorBidi" w:hAnsiTheme="majorBidi" w:cstheme="majorBidi"/>
          <w:sz w:val="28"/>
          <w:szCs w:val="28"/>
        </w:rPr>
        <w:t xml:space="preserve">s logical target for </w:t>
      </w:r>
      <w:proofErr w:type="spellStart"/>
      <w:r w:rsidR="000B3FBF">
        <w:rPr>
          <w:rFonts w:asciiTheme="majorBidi" w:hAnsiTheme="majorBidi" w:cstheme="majorBidi"/>
          <w:sz w:val="28"/>
          <w:szCs w:val="28"/>
        </w:rPr>
        <w:t>pemetrexed</w:t>
      </w:r>
      <w:proofErr w:type="spellEnd"/>
      <w:r w:rsidR="000B3FBF">
        <w:rPr>
          <w:rFonts w:asciiTheme="majorBidi" w:hAnsiTheme="majorBidi" w:cstheme="majorBidi"/>
          <w:sz w:val="28"/>
          <w:szCs w:val="28"/>
        </w:rPr>
        <w:t>.</w:t>
      </w:r>
      <w:r w:rsidRPr="009657FC">
        <w:rPr>
          <w:rFonts w:asciiTheme="majorBidi" w:hAnsiTheme="majorBidi" w:cstheme="majorBidi"/>
          <w:sz w:val="28"/>
          <w:szCs w:val="28"/>
        </w:rPr>
        <w:br/>
        <w:t xml:space="preserve">* </w:t>
      </w:r>
      <w:proofErr w:type="spellStart"/>
      <w:r w:rsidR="000B3FBF">
        <w:rPr>
          <w:rFonts w:asciiTheme="majorBidi" w:hAnsiTheme="majorBidi" w:cstheme="majorBidi"/>
          <w:sz w:val="28"/>
          <w:szCs w:val="28"/>
        </w:rPr>
        <w:t>Pemetrexed</w:t>
      </w:r>
      <w:proofErr w:type="spellEnd"/>
      <w:r w:rsidR="000B3FBF">
        <w:rPr>
          <w:rFonts w:asciiTheme="majorBidi" w:hAnsiTheme="majorBidi" w:cstheme="majorBidi"/>
          <w:sz w:val="28"/>
          <w:szCs w:val="28"/>
        </w:rPr>
        <w:t xml:space="preserve"> is</w:t>
      </w:r>
      <w:r w:rsidRPr="009657FC">
        <w:rPr>
          <w:rFonts w:asciiTheme="majorBidi" w:hAnsiTheme="majorBidi" w:cstheme="majorBidi"/>
          <w:sz w:val="28"/>
          <w:szCs w:val="28"/>
        </w:rPr>
        <w:t xml:space="preserve"> transported into cells via</w:t>
      </w:r>
      <w:r w:rsidR="000B3FBF">
        <w:rPr>
          <w:rFonts w:asciiTheme="majorBidi" w:hAnsiTheme="majorBidi" w:cstheme="majorBidi"/>
          <w:sz w:val="28"/>
          <w:szCs w:val="28"/>
        </w:rPr>
        <w:t xml:space="preserve"> the</w:t>
      </w:r>
      <w:r w:rsidRPr="009657FC">
        <w:rPr>
          <w:rFonts w:asciiTheme="majorBidi" w:hAnsiTheme="majorBidi" w:cstheme="majorBidi"/>
          <w:sz w:val="28"/>
          <w:szCs w:val="28"/>
        </w:rPr>
        <w:t xml:space="preserve"> </w:t>
      </w:r>
      <w:r w:rsidRPr="009657FC">
        <w:rPr>
          <w:rFonts w:asciiTheme="majorBidi" w:hAnsiTheme="majorBidi" w:cstheme="majorBidi"/>
          <w:sz w:val="28"/>
          <w:szCs w:val="28"/>
          <w:u w:val="single"/>
        </w:rPr>
        <w:t>reduced-</w:t>
      </w:r>
      <w:proofErr w:type="spellStart"/>
      <w:r w:rsidRPr="009657FC">
        <w:rPr>
          <w:rFonts w:asciiTheme="majorBidi" w:hAnsiTheme="majorBidi" w:cstheme="majorBidi"/>
          <w:sz w:val="28"/>
          <w:szCs w:val="28"/>
          <w:u w:val="single"/>
        </w:rPr>
        <w:t>folate</w:t>
      </w:r>
      <w:proofErr w:type="spellEnd"/>
      <w:r w:rsidRPr="009657FC">
        <w:rPr>
          <w:rFonts w:asciiTheme="majorBidi" w:hAnsiTheme="majorBidi" w:cstheme="majorBidi"/>
          <w:sz w:val="28"/>
          <w:szCs w:val="28"/>
          <w:u w:val="single"/>
        </w:rPr>
        <w:t xml:space="preserve"> carrier </w:t>
      </w:r>
      <w:r w:rsidRPr="009657FC">
        <w:rPr>
          <w:rFonts w:asciiTheme="majorBidi" w:hAnsiTheme="majorBidi" w:cstheme="majorBidi"/>
          <w:sz w:val="28"/>
          <w:szCs w:val="28"/>
        </w:rPr>
        <w:t>(RFC)</w:t>
      </w:r>
      <w:r w:rsidR="000B3FBF">
        <w:rPr>
          <w:rFonts w:asciiTheme="majorBidi" w:hAnsiTheme="majorBidi" w:cstheme="majorBidi"/>
          <w:sz w:val="28"/>
          <w:szCs w:val="28"/>
        </w:rPr>
        <w:t xml:space="preserve"> and possibly by a unique transporter identified in mesothelioma cell lines</w:t>
      </w:r>
      <w:r w:rsidRPr="009657FC">
        <w:rPr>
          <w:rFonts w:asciiTheme="majorBidi" w:hAnsiTheme="majorBidi" w:cstheme="majorBidi"/>
          <w:sz w:val="28"/>
          <w:szCs w:val="28"/>
        </w:rPr>
        <w:t>.</w:t>
      </w:r>
      <w:r w:rsidRPr="009657FC">
        <w:rPr>
          <w:rFonts w:asciiTheme="majorBidi" w:hAnsiTheme="majorBidi" w:cstheme="majorBidi"/>
          <w:sz w:val="28"/>
          <w:szCs w:val="28"/>
        </w:rPr>
        <w:br/>
        <w:t xml:space="preserve">- It metabolized to </w:t>
      </w:r>
      <w:proofErr w:type="spellStart"/>
      <w:r w:rsidRPr="009657FC">
        <w:rPr>
          <w:rFonts w:asciiTheme="majorBidi" w:hAnsiTheme="majorBidi" w:cstheme="majorBidi"/>
          <w:sz w:val="28"/>
          <w:szCs w:val="28"/>
        </w:rPr>
        <w:t>polyglutamated</w:t>
      </w:r>
      <w:proofErr w:type="spellEnd"/>
      <w:r w:rsidRPr="009657FC">
        <w:rPr>
          <w:rFonts w:asciiTheme="majorBidi" w:hAnsiTheme="majorBidi" w:cstheme="majorBidi"/>
          <w:sz w:val="28"/>
          <w:szCs w:val="28"/>
        </w:rPr>
        <w:t xml:space="preserve"> forms</w:t>
      </w:r>
      <w:r w:rsidR="000B3FBF">
        <w:rPr>
          <w:rFonts w:asciiTheme="majorBidi" w:hAnsiTheme="majorBidi" w:cstheme="majorBidi"/>
          <w:sz w:val="28"/>
          <w:szCs w:val="28"/>
        </w:rPr>
        <w:t xml:space="preserve">, which are potent inhibitors of  </w:t>
      </w:r>
      <w:proofErr w:type="spellStart"/>
      <w:r w:rsidR="000B3FBF">
        <w:rPr>
          <w:rFonts w:asciiTheme="majorBidi" w:hAnsiTheme="majorBidi" w:cstheme="majorBidi"/>
          <w:sz w:val="28"/>
          <w:szCs w:val="28"/>
        </w:rPr>
        <w:t>thymidilate</w:t>
      </w:r>
      <w:proofErr w:type="spellEnd"/>
      <w:r w:rsidR="000B3FBF">
        <w:rPr>
          <w:rFonts w:asciiTheme="majorBidi" w:hAnsiTheme="majorBidi" w:cstheme="majorBidi"/>
          <w:sz w:val="28"/>
          <w:szCs w:val="28"/>
        </w:rPr>
        <w:t xml:space="preserve"> synthase (TS) enzyme</w:t>
      </w:r>
      <w:r w:rsidR="0041247C">
        <w:rPr>
          <w:rFonts w:asciiTheme="majorBidi" w:hAnsiTheme="majorBidi" w:cstheme="majorBidi"/>
          <w:sz w:val="28"/>
          <w:szCs w:val="28"/>
        </w:rPr>
        <w:t>.</w:t>
      </w:r>
    </w:p>
    <w:p w:rsidR="00DE02BC" w:rsidRPr="0041247C" w:rsidRDefault="0041247C" w:rsidP="0041247C">
      <w:pPr>
        <w:jc w:val="right"/>
        <w:rPr>
          <w:rFonts w:asciiTheme="majorBidi" w:hAnsiTheme="majorBidi" w:cstheme="majorBidi"/>
          <w:sz w:val="28"/>
          <w:szCs w:val="28"/>
        </w:rPr>
      </w:pPr>
      <w:r w:rsidRPr="0041247C">
        <w:rPr>
          <w:noProof/>
          <w:sz w:val="28"/>
          <w:szCs w:val="28"/>
        </w:rPr>
        <w:drawing>
          <wp:inline distT="0" distB="0" distL="0" distR="0" wp14:anchorId="296F8136" wp14:editId="35BCCDA2">
            <wp:extent cx="3233567" cy="1351128"/>
            <wp:effectExtent l="0" t="0" r="5080" b="1905"/>
            <wp:docPr id="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789" cy="1357489"/>
                    </a:xfrm>
                    <a:prstGeom prst="rect">
                      <a:avLst/>
                    </a:prstGeom>
                    <a:noFill/>
                    <a:ln>
                      <a:noFill/>
                    </a:ln>
                    <a:effectLst/>
                    <a:extLst/>
                  </pic:spPr>
                </pic:pic>
              </a:graphicData>
            </a:graphic>
          </wp:inline>
        </w:drawing>
      </w:r>
    </w:p>
    <w:p w:rsidR="0041247C" w:rsidRDefault="0041247C" w:rsidP="0041247C">
      <w:pPr>
        <w:rPr>
          <w:rFonts w:asciiTheme="majorBidi" w:hAnsiTheme="majorBidi" w:cstheme="majorBidi"/>
          <w:b/>
          <w:bCs/>
          <w:sz w:val="28"/>
          <w:szCs w:val="28"/>
        </w:rPr>
      </w:pPr>
    </w:p>
    <w:p w:rsidR="00281B95" w:rsidRDefault="0041247C" w:rsidP="00281B95">
      <w:pPr>
        <w:spacing w:after="0"/>
        <w:rPr>
          <w:rFonts w:asciiTheme="majorBidi" w:hAnsiTheme="majorBidi" w:cstheme="majorBidi"/>
          <w:sz w:val="28"/>
          <w:szCs w:val="28"/>
        </w:rPr>
      </w:pPr>
      <w:r>
        <w:rPr>
          <w:noProof/>
        </w:rPr>
        <w:drawing>
          <wp:anchor distT="0" distB="0" distL="114300" distR="114300" simplePos="0" relativeHeight="251659264" behindDoc="0" locked="0" layoutInCell="1" allowOverlap="1" wp14:anchorId="16F1E6E3" wp14:editId="59334C3C">
            <wp:simplePos x="0" y="0"/>
            <wp:positionH relativeFrom="column">
              <wp:posOffset>4899660</wp:posOffset>
            </wp:positionH>
            <wp:positionV relativeFrom="paragraph">
              <wp:posOffset>123190</wp:posOffset>
            </wp:positionV>
            <wp:extent cx="1550670" cy="1193800"/>
            <wp:effectExtent l="0" t="0" r="0" b="635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11938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41247C">
        <w:rPr>
          <w:rFonts w:asciiTheme="majorBidi" w:hAnsiTheme="majorBidi" w:cstheme="majorBidi"/>
          <w:b/>
          <w:bCs/>
          <w:sz w:val="28"/>
          <w:szCs w:val="28"/>
        </w:rPr>
        <w:t xml:space="preserve">3- </w:t>
      </w:r>
      <w:proofErr w:type="spellStart"/>
      <w:r w:rsidRPr="0041247C">
        <w:rPr>
          <w:rFonts w:asciiTheme="majorBidi" w:hAnsiTheme="majorBidi" w:cstheme="majorBidi"/>
          <w:b/>
          <w:bCs/>
          <w:sz w:val="28"/>
          <w:szCs w:val="28"/>
        </w:rPr>
        <w:t>Nolatrexed</w:t>
      </w:r>
      <w:proofErr w:type="spellEnd"/>
      <w:r w:rsidRPr="0041247C">
        <w:rPr>
          <w:rFonts w:asciiTheme="majorBidi" w:hAnsiTheme="majorBidi" w:cstheme="majorBidi"/>
          <w:sz w:val="28"/>
          <w:szCs w:val="28"/>
        </w:rPr>
        <w:br/>
      </w:r>
      <w:r>
        <w:rPr>
          <w:rFonts w:asciiTheme="majorBidi" w:hAnsiTheme="majorBidi" w:cstheme="majorBidi"/>
          <w:sz w:val="28"/>
          <w:szCs w:val="28"/>
        </w:rPr>
        <w:t xml:space="preserve">- It </w:t>
      </w:r>
      <w:r w:rsidRPr="0041247C">
        <w:rPr>
          <w:rFonts w:asciiTheme="majorBidi" w:hAnsiTheme="majorBidi" w:cstheme="majorBidi"/>
          <w:sz w:val="28"/>
          <w:szCs w:val="28"/>
        </w:rPr>
        <w:t xml:space="preserve">is </w:t>
      </w:r>
      <w:r>
        <w:rPr>
          <w:rFonts w:asciiTheme="majorBidi" w:hAnsiTheme="majorBidi" w:cstheme="majorBidi"/>
          <w:sz w:val="28"/>
          <w:szCs w:val="28"/>
        </w:rPr>
        <w:t>Non-classic-Inhibitor of TS</w:t>
      </w:r>
      <w:r w:rsidR="005A3F22">
        <w:rPr>
          <w:rFonts w:asciiTheme="majorBidi" w:hAnsiTheme="majorBidi" w:cstheme="majorBidi"/>
          <w:sz w:val="28"/>
          <w:szCs w:val="28"/>
        </w:rPr>
        <w:t xml:space="preserve">, specifically designed to avoid potential resistance mechanisms that can limit the activity of classic </w:t>
      </w:r>
      <w:proofErr w:type="spellStart"/>
      <w:r w:rsidR="005A3F22">
        <w:rPr>
          <w:rFonts w:asciiTheme="majorBidi" w:hAnsiTheme="majorBidi" w:cstheme="majorBidi"/>
          <w:sz w:val="28"/>
          <w:szCs w:val="28"/>
        </w:rPr>
        <w:t>antifolate</w:t>
      </w:r>
      <w:proofErr w:type="spellEnd"/>
      <w:r w:rsidR="005A3F22">
        <w:rPr>
          <w:rFonts w:asciiTheme="majorBidi" w:hAnsiTheme="majorBidi" w:cstheme="majorBidi"/>
          <w:sz w:val="28"/>
          <w:szCs w:val="28"/>
        </w:rPr>
        <w:t xml:space="preserve"> antimetabolites</w:t>
      </w:r>
      <w:r>
        <w:rPr>
          <w:rFonts w:asciiTheme="majorBidi" w:hAnsiTheme="majorBidi" w:cstheme="majorBidi"/>
          <w:sz w:val="28"/>
          <w:szCs w:val="28"/>
        </w:rPr>
        <w:t xml:space="preserve">.   </w:t>
      </w:r>
      <w:r>
        <w:rPr>
          <w:rFonts w:asciiTheme="majorBidi" w:hAnsiTheme="majorBidi" w:cstheme="majorBidi"/>
          <w:sz w:val="28"/>
          <w:szCs w:val="28"/>
        </w:rPr>
        <w:br/>
        <w:t xml:space="preserve">* It is lipophilic drug </w:t>
      </w:r>
      <w:r w:rsidR="00281B95">
        <w:rPr>
          <w:rFonts w:asciiTheme="majorBidi" w:hAnsiTheme="majorBidi" w:cstheme="majorBidi"/>
          <w:sz w:val="28"/>
          <w:szCs w:val="28"/>
        </w:rPr>
        <w:t xml:space="preserve">characterized as non-glutamate containing </w:t>
      </w:r>
    </w:p>
    <w:p w:rsidR="00547EF5" w:rsidRPr="00CC2C96" w:rsidRDefault="00BA158C" w:rsidP="00CC2C96">
      <w:pPr>
        <w:spacing w:after="0"/>
        <w:rPr>
          <w:rFonts w:asciiTheme="majorBidi" w:hAnsiTheme="majorBidi" w:cstheme="majorBidi"/>
          <w:sz w:val="28"/>
          <w:szCs w:val="28"/>
          <w:lang w:bidi="ar-IQ"/>
        </w:rPr>
      </w:pPr>
      <w:r>
        <w:rPr>
          <w:rFonts w:asciiTheme="majorBidi" w:hAnsiTheme="majorBidi" w:cstheme="majorBidi"/>
          <w:sz w:val="28"/>
          <w:szCs w:val="28"/>
        </w:rPr>
        <w:t xml:space="preserve"> Molecule that does not require facilitated transport for uptake and does not undergo, nor require, intracellular </w:t>
      </w:r>
      <w:proofErr w:type="spellStart"/>
      <w:r>
        <w:rPr>
          <w:rFonts w:asciiTheme="majorBidi" w:hAnsiTheme="majorBidi" w:cstheme="majorBidi"/>
          <w:sz w:val="28"/>
          <w:szCs w:val="28"/>
        </w:rPr>
        <w:t>polyglutamylation</w:t>
      </w:r>
      <w:proofErr w:type="spellEnd"/>
      <w:r>
        <w:rPr>
          <w:rFonts w:asciiTheme="majorBidi" w:hAnsiTheme="majorBidi" w:cstheme="majorBidi"/>
          <w:sz w:val="28"/>
          <w:szCs w:val="28"/>
        </w:rPr>
        <w:t xml:space="preserve"> for activity. </w:t>
      </w:r>
      <w:r w:rsidR="0041247C" w:rsidRPr="0041247C">
        <w:rPr>
          <w:rFonts w:asciiTheme="majorBidi" w:hAnsiTheme="majorBidi" w:cstheme="majorBidi"/>
          <w:sz w:val="28"/>
          <w:szCs w:val="28"/>
        </w:rPr>
        <w:br/>
      </w:r>
    </w:p>
    <w:p w:rsidR="0041247C" w:rsidRDefault="002015B2" w:rsidP="00BA158C">
      <w:pPr>
        <w:rPr>
          <w:rFonts w:asciiTheme="majorBidi" w:eastAsiaTheme="majorEastAsia" w:hAnsiTheme="majorBidi" w:cstheme="majorBidi"/>
          <w:kern w:val="24"/>
          <w:sz w:val="28"/>
          <w:szCs w:val="28"/>
        </w:rPr>
      </w:pPr>
      <w:r w:rsidRPr="005A3F22">
        <w:rPr>
          <w:rFonts w:asciiTheme="majorBidi" w:eastAsiaTheme="majorEastAsia" w:hAnsiTheme="majorBidi" w:cstheme="majorBidi"/>
          <w:b/>
          <w:bCs/>
          <w:kern w:val="24"/>
          <w:sz w:val="28"/>
          <w:szCs w:val="28"/>
        </w:rPr>
        <w:t xml:space="preserve">4- </w:t>
      </w:r>
      <w:proofErr w:type="spellStart"/>
      <w:r w:rsidRPr="005A3F22">
        <w:rPr>
          <w:rFonts w:asciiTheme="majorBidi" w:eastAsiaTheme="majorEastAsia" w:hAnsiTheme="majorBidi" w:cstheme="majorBidi"/>
          <w:b/>
          <w:bCs/>
          <w:kern w:val="24"/>
          <w:sz w:val="28"/>
          <w:szCs w:val="28"/>
        </w:rPr>
        <w:t>Raltitrexed</w:t>
      </w:r>
      <w:proofErr w:type="spellEnd"/>
      <w:r w:rsidRPr="005A3F22">
        <w:rPr>
          <w:rFonts w:asciiTheme="majorBidi" w:eastAsiaTheme="majorEastAsia" w:hAnsiTheme="majorBidi" w:cstheme="majorBidi"/>
          <w:b/>
          <w:bCs/>
          <w:kern w:val="24"/>
          <w:sz w:val="28"/>
          <w:szCs w:val="28"/>
        </w:rPr>
        <w:br/>
      </w:r>
      <w:r w:rsidRPr="00547EF5">
        <w:rPr>
          <w:rFonts w:asciiTheme="majorBidi" w:eastAsiaTheme="majorEastAsia" w:hAnsiTheme="majorBidi" w:cstheme="majorBidi"/>
          <w:kern w:val="24"/>
          <w:sz w:val="28"/>
          <w:szCs w:val="28"/>
        </w:rPr>
        <w:t>* It is H</w:t>
      </w:r>
      <w:r w:rsidRPr="00547EF5">
        <w:rPr>
          <w:rFonts w:asciiTheme="majorBidi" w:eastAsiaTheme="majorEastAsia" w:hAnsiTheme="majorBidi" w:cstheme="majorBidi"/>
          <w:kern w:val="24"/>
          <w:sz w:val="28"/>
          <w:szCs w:val="28"/>
          <w:vertAlign w:val="subscript"/>
        </w:rPr>
        <w:t>2</w:t>
      </w:r>
      <w:r w:rsidRPr="00547EF5">
        <w:rPr>
          <w:rFonts w:asciiTheme="majorBidi" w:eastAsiaTheme="majorEastAsia" w:hAnsiTheme="majorBidi" w:cstheme="majorBidi"/>
          <w:kern w:val="24"/>
          <w:sz w:val="28"/>
          <w:szCs w:val="28"/>
        </w:rPr>
        <w:t xml:space="preserve">O soluble </w:t>
      </w:r>
      <w:proofErr w:type="spellStart"/>
      <w:r w:rsidR="00BA158C">
        <w:rPr>
          <w:rFonts w:asciiTheme="majorBidi" w:eastAsiaTheme="majorEastAsia" w:hAnsiTheme="majorBidi" w:cstheme="majorBidi"/>
          <w:kern w:val="24"/>
          <w:sz w:val="28"/>
          <w:szCs w:val="28"/>
        </w:rPr>
        <w:t>thymidilate</w:t>
      </w:r>
      <w:proofErr w:type="spellEnd"/>
      <w:r w:rsidR="00BA158C">
        <w:rPr>
          <w:rFonts w:asciiTheme="majorBidi" w:eastAsiaTheme="majorEastAsia" w:hAnsiTheme="majorBidi" w:cstheme="majorBidi"/>
          <w:kern w:val="24"/>
          <w:sz w:val="28"/>
          <w:szCs w:val="28"/>
        </w:rPr>
        <w:t xml:space="preserve"> </w:t>
      </w:r>
      <w:proofErr w:type="spellStart"/>
      <w:r w:rsidR="00BA158C">
        <w:rPr>
          <w:rFonts w:asciiTheme="majorBidi" w:eastAsiaTheme="majorEastAsia" w:hAnsiTheme="majorBidi" w:cstheme="majorBidi"/>
          <w:kern w:val="24"/>
          <w:sz w:val="28"/>
          <w:szCs w:val="28"/>
        </w:rPr>
        <w:t>synthetase</w:t>
      </w:r>
      <w:proofErr w:type="spellEnd"/>
      <w:r w:rsidR="00BA158C">
        <w:rPr>
          <w:rFonts w:asciiTheme="majorBidi" w:eastAsiaTheme="majorEastAsia" w:hAnsiTheme="majorBidi" w:cstheme="majorBidi"/>
          <w:kern w:val="24"/>
          <w:sz w:val="28"/>
          <w:szCs w:val="28"/>
        </w:rPr>
        <w:t xml:space="preserve"> (</w:t>
      </w:r>
      <w:r w:rsidRPr="00547EF5">
        <w:rPr>
          <w:rFonts w:asciiTheme="majorBidi" w:eastAsiaTheme="majorEastAsia" w:hAnsiTheme="majorBidi" w:cstheme="majorBidi"/>
          <w:kern w:val="24"/>
          <w:sz w:val="28"/>
          <w:szCs w:val="28"/>
        </w:rPr>
        <w:t>TS</w:t>
      </w:r>
      <w:r w:rsidR="00BA158C">
        <w:rPr>
          <w:rFonts w:asciiTheme="majorBidi" w:eastAsiaTheme="majorEastAsia" w:hAnsiTheme="majorBidi" w:cstheme="majorBidi"/>
          <w:kern w:val="24"/>
          <w:sz w:val="28"/>
          <w:szCs w:val="28"/>
        </w:rPr>
        <w:t>) inhibitor</w:t>
      </w:r>
      <w:r w:rsidRPr="00547EF5">
        <w:rPr>
          <w:rFonts w:asciiTheme="majorBidi" w:eastAsiaTheme="majorEastAsia" w:hAnsiTheme="majorBidi" w:cstheme="majorBidi"/>
          <w:kern w:val="24"/>
          <w:sz w:val="28"/>
          <w:szCs w:val="28"/>
        </w:rPr>
        <w:t>,</w:t>
      </w:r>
      <w:r w:rsidR="00BA158C">
        <w:rPr>
          <w:rFonts w:asciiTheme="majorBidi" w:eastAsiaTheme="majorEastAsia" w:hAnsiTheme="majorBidi" w:cstheme="majorBidi"/>
          <w:kern w:val="24"/>
          <w:sz w:val="28"/>
          <w:szCs w:val="28"/>
        </w:rPr>
        <w:t xml:space="preserve"> </w:t>
      </w:r>
      <w:r w:rsidRPr="00547EF5">
        <w:rPr>
          <w:rFonts w:asciiTheme="majorBidi" w:eastAsiaTheme="majorEastAsia" w:hAnsiTheme="majorBidi" w:cstheme="majorBidi"/>
          <w:kern w:val="24"/>
          <w:sz w:val="28"/>
          <w:szCs w:val="28"/>
        </w:rPr>
        <w:t>that appears to have an acceptable toxicity profile</w:t>
      </w:r>
      <w:r w:rsidRPr="00547EF5">
        <w:rPr>
          <w:rFonts w:asciiTheme="majorBidi" w:eastAsiaTheme="majorEastAsia" w:hAnsiTheme="majorBidi" w:cstheme="majorBidi"/>
          <w:kern w:val="24"/>
          <w:sz w:val="28"/>
          <w:szCs w:val="28"/>
        </w:rPr>
        <w:br/>
        <w:t xml:space="preserve">* it is antitumor activity in colorectal, breast, pancreatic and </w:t>
      </w:r>
      <w:proofErr w:type="spellStart"/>
      <w:r w:rsidRPr="00547EF5">
        <w:rPr>
          <w:rFonts w:asciiTheme="majorBidi" w:eastAsiaTheme="majorEastAsia" w:hAnsiTheme="majorBidi" w:cstheme="majorBidi"/>
          <w:kern w:val="24"/>
          <w:sz w:val="28"/>
          <w:szCs w:val="28"/>
        </w:rPr>
        <w:t>avarity</w:t>
      </w:r>
      <w:proofErr w:type="spellEnd"/>
      <w:r w:rsidRPr="00547EF5">
        <w:rPr>
          <w:rFonts w:asciiTheme="majorBidi" w:eastAsiaTheme="majorEastAsia" w:hAnsiTheme="majorBidi" w:cstheme="majorBidi"/>
          <w:kern w:val="24"/>
          <w:sz w:val="28"/>
          <w:szCs w:val="28"/>
        </w:rPr>
        <w:t xml:space="preserve"> of other solid cancer</w:t>
      </w:r>
      <w:r w:rsidR="00CC2C96">
        <w:rPr>
          <w:rFonts w:asciiTheme="majorBidi" w:eastAsiaTheme="majorEastAsia" w:hAnsiTheme="majorBidi" w:cstheme="majorBidi"/>
          <w:kern w:val="24"/>
          <w:sz w:val="28"/>
          <w:szCs w:val="28"/>
        </w:rPr>
        <w:t>s</w:t>
      </w:r>
      <w:r w:rsidRPr="00547EF5">
        <w:rPr>
          <w:rFonts w:asciiTheme="majorBidi" w:eastAsiaTheme="majorEastAsia" w:hAnsiTheme="majorBidi" w:cstheme="majorBidi"/>
          <w:kern w:val="24"/>
          <w:sz w:val="28"/>
          <w:szCs w:val="28"/>
        </w:rPr>
        <w:t>.</w:t>
      </w:r>
      <w:r w:rsidRPr="00547EF5">
        <w:rPr>
          <w:rFonts w:asciiTheme="majorBidi" w:eastAsiaTheme="majorEastAsia" w:hAnsiTheme="majorBidi" w:cstheme="majorBidi"/>
          <w:kern w:val="24"/>
          <w:sz w:val="28"/>
          <w:szCs w:val="28"/>
        </w:rPr>
        <w:br/>
        <w:t>* it a 2</w:t>
      </w:r>
      <w:r w:rsidRPr="00547EF5">
        <w:rPr>
          <w:rFonts w:asciiTheme="majorBidi" w:eastAsiaTheme="majorEastAsia" w:hAnsiTheme="majorBidi" w:cstheme="majorBidi"/>
          <w:kern w:val="24"/>
          <w:sz w:val="28"/>
          <w:szCs w:val="28"/>
          <w:vertAlign w:val="superscript"/>
        </w:rPr>
        <w:t>nd</w:t>
      </w:r>
      <w:r w:rsidRPr="00547EF5">
        <w:rPr>
          <w:rFonts w:asciiTheme="majorBidi" w:eastAsiaTheme="majorEastAsia" w:hAnsiTheme="majorBidi" w:cstheme="majorBidi"/>
          <w:kern w:val="24"/>
          <w:sz w:val="28"/>
          <w:szCs w:val="28"/>
        </w:rPr>
        <w:t xml:space="preserve"> </w:t>
      </w:r>
      <w:r w:rsidR="00547EF5">
        <w:rPr>
          <w:rFonts w:asciiTheme="majorBidi" w:eastAsiaTheme="majorEastAsia" w:hAnsiTheme="majorBidi" w:cstheme="majorBidi"/>
          <w:kern w:val="24"/>
          <w:sz w:val="28"/>
          <w:szCs w:val="28"/>
        </w:rPr>
        <w:t>g</w:t>
      </w:r>
      <w:r w:rsidRPr="00547EF5">
        <w:rPr>
          <w:rFonts w:asciiTheme="majorBidi" w:eastAsiaTheme="majorEastAsia" w:hAnsiTheme="majorBidi" w:cstheme="majorBidi"/>
          <w:kern w:val="24"/>
          <w:sz w:val="28"/>
          <w:szCs w:val="28"/>
        </w:rPr>
        <w:t>eneration agent designed to overcome the major toxicity associated with its predecessor .</w:t>
      </w:r>
    </w:p>
    <w:p w:rsidR="00547EF5" w:rsidRPr="00547EF5" w:rsidRDefault="00547EF5" w:rsidP="00CC2C96">
      <w:pPr>
        <w:jc w:val="center"/>
        <w:rPr>
          <w:rFonts w:asciiTheme="majorBidi" w:eastAsiaTheme="majorEastAsia" w:hAnsiTheme="majorBidi" w:cstheme="majorBidi"/>
          <w:kern w:val="24"/>
          <w:sz w:val="28"/>
          <w:szCs w:val="28"/>
        </w:rPr>
      </w:pPr>
      <w:bookmarkStart w:id="0" w:name="_GoBack"/>
      <w:bookmarkEnd w:id="0"/>
      <w:r>
        <w:rPr>
          <w:noProof/>
        </w:rPr>
        <w:drawing>
          <wp:inline distT="0" distB="0" distL="0" distR="0" wp14:anchorId="0F2ED162" wp14:editId="12236523">
            <wp:extent cx="4648200" cy="933450"/>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7607" cy="933331"/>
                    </a:xfrm>
                    <a:prstGeom prst="rect">
                      <a:avLst/>
                    </a:prstGeom>
                    <a:noFill/>
                    <a:ln>
                      <a:noFill/>
                    </a:ln>
                    <a:effectLst/>
                    <a:extLst/>
                  </pic:spPr>
                </pic:pic>
              </a:graphicData>
            </a:graphic>
          </wp:inline>
        </w:drawing>
      </w:r>
    </w:p>
    <w:sectPr w:rsidR="00547EF5" w:rsidRPr="00547EF5" w:rsidSect="00023528">
      <w:headerReference w:type="default" r:id="rId15"/>
      <w:pgSz w:w="11906" w:h="16838" w:code="9"/>
      <w:pgMar w:top="1008" w:right="1008" w:bottom="1008" w:left="100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05" w:rsidRDefault="00796E05" w:rsidP="00C045FC">
      <w:pPr>
        <w:spacing w:after="0" w:line="240" w:lineRule="auto"/>
      </w:pPr>
      <w:r>
        <w:separator/>
      </w:r>
    </w:p>
  </w:endnote>
  <w:endnote w:type="continuationSeparator" w:id="0">
    <w:p w:rsidR="00796E05" w:rsidRDefault="00796E05" w:rsidP="00C0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05" w:rsidRDefault="00796E05" w:rsidP="00C045FC">
      <w:pPr>
        <w:spacing w:after="0" w:line="240" w:lineRule="auto"/>
      </w:pPr>
      <w:r>
        <w:separator/>
      </w:r>
    </w:p>
  </w:footnote>
  <w:footnote w:type="continuationSeparator" w:id="0">
    <w:p w:rsidR="00796E05" w:rsidRDefault="00796E05" w:rsidP="00C04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FC" w:rsidRDefault="00C045FC">
    <w:pPr>
      <w:pStyle w:val="a3"/>
      <w:rPr>
        <w:b/>
        <w:bCs/>
        <w:sz w:val="28"/>
        <w:szCs w:val="28"/>
      </w:rPr>
    </w:pPr>
    <w:r w:rsidRPr="00C045FC">
      <w:rPr>
        <w:b/>
        <w:bCs/>
        <w:sz w:val="28"/>
        <w:szCs w:val="28"/>
      </w:rPr>
      <w:t>Antineoplastic Agents</w:t>
    </w:r>
    <w:r>
      <w:rPr>
        <w:b/>
        <w:bCs/>
        <w:sz w:val="28"/>
        <w:szCs w:val="28"/>
      </w:rPr>
      <w:t xml:space="preserve">       </w:t>
    </w:r>
    <w:proofErr w:type="spellStart"/>
    <w:r>
      <w:rPr>
        <w:b/>
        <w:bCs/>
        <w:sz w:val="28"/>
        <w:szCs w:val="28"/>
      </w:rPr>
      <w:t>Antimetabolate</w:t>
    </w:r>
    <w:proofErr w:type="spellEnd"/>
    <w:r>
      <w:rPr>
        <w:b/>
        <w:bCs/>
        <w:sz w:val="28"/>
        <w:szCs w:val="28"/>
      </w:rPr>
      <w:t xml:space="preserve"> Agents (</w:t>
    </w:r>
    <w:proofErr w:type="spellStart"/>
    <w:r>
      <w:rPr>
        <w:b/>
        <w:bCs/>
        <w:sz w:val="28"/>
        <w:szCs w:val="28"/>
      </w:rPr>
      <w:t>Antifolate</w:t>
    </w:r>
    <w:proofErr w:type="spellEnd"/>
    <w:r>
      <w:rPr>
        <w:b/>
        <w:bCs/>
        <w:sz w:val="28"/>
        <w:szCs w:val="28"/>
      </w:rPr>
      <w:t xml:space="preserve"> )</w:t>
    </w:r>
    <w:r w:rsidR="00F703AC">
      <w:rPr>
        <w:rFonts w:hint="cs"/>
        <w:b/>
        <w:bCs/>
        <w:sz w:val="28"/>
        <w:szCs w:val="28"/>
        <w:rtl/>
      </w:rPr>
      <w:t xml:space="preserve">           </w:t>
    </w:r>
    <w:r w:rsidR="00F703AC">
      <w:rPr>
        <w:b/>
        <w:bCs/>
        <w:sz w:val="28"/>
        <w:szCs w:val="28"/>
      </w:rPr>
      <w:t xml:space="preserve">     Lect.6</w:t>
    </w:r>
  </w:p>
  <w:p w:rsidR="00F703AC" w:rsidRPr="00C045FC" w:rsidRDefault="00F703AC">
    <w:pPr>
      <w:pStyle w:val="a3"/>
      <w:rPr>
        <w:b/>
        <w:bCs/>
        <w:sz w:val="28"/>
        <w:szCs w:val="28"/>
      </w:rPr>
    </w:pPr>
    <w:r>
      <w:rPr>
        <w:b/>
        <w:bCs/>
        <w:sz w:val="28"/>
        <w:szCs w:val="28"/>
      </w:rPr>
      <w:t xml:space="preserve">Dr. </w:t>
    </w:r>
    <w:proofErr w:type="spellStart"/>
    <w:r>
      <w:rPr>
        <w:b/>
        <w:bCs/>
        <w:sz w:val="28"/>
        <w:szCs w:val="28"/>
      </w:rPr>
      <w:t>Leaqaa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FC"/>
    <w:rsid w:val="00023528"/>
    <w:rsid w:val="000B3FBF"/>
    <w:rsid w:val="000D2AA0"/>
    <w:rsid w:val="001B2D76"/>
    <w:rsid w:val="002015B2"/>
    <w:rsid w:val="00205F15"/>
    <w:rsid w:val="00281B95"/>
    <w:rsid w:val="003756D0"/>
    <w:rsid w:val="003E4C69"/>
    <w:rsid w:val="0041247C"/>
    <w:rsid w:val="00547EF5"/>
    <w:rsid w:val="005A3F22"/>
    <w:rsid w:val="005A6905"/>
    <w:rsid w:val="005E77DB"/>
    <w:rsid w:val="00796E05"/>
    <w:rsid w:val="008E5CA5"/>
    <w:rsid w:val="009657FC"/>
    <w:rsid w:val="00AF7C2B"/>
    <w:rsid w:val="00B568C9"/>
    <w:rsid w:val="00BA158C"/>
    <w:rsid w:val="00C045FC"/>
    <w:rsid w:val="00CC2C96"/>
    <w:rsid w:val="00DE02BC"/>
    <w:rsid w:val="00E51FD9"/>
    <w:rsid w:val="00E642E7"/>
    <w:rsid w:val="00EA53E2"/>
    <w:rsid w:val="00F703AC"/>
    <w:rsid w:val="00FA3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5FC"/>
    <w:pPr>
      <w:tabs>
        <w:tab w:val="center" w:pos="4680"/>
        <w:tab w:val="right" w:pos="9360"/>
      </w:tabs>
      <w:spacing w:after="0" w:line="240" w:lineRule="auto"/>
    </w:pPr>
  </w:style>
  <w:style w:type="character" w:customStyle="1" w:styleId="Char">
    <w:name w:val="رأس الصفحة Char"/>
    <w:basedOn w:val="a0"/>
    <w:link w:val="a3"/>
    <w:uiPriority w:val="99"/>
    <w:rsid w:val="00C045FC"/>
  </w:style>
  <w:style w:type="paragraph" w:styleId="a4">
    <w:name w:val="footer"/>
    <w:basedOn w:val="a"/>
    <w:link w:val="Char0"/>
    <w:uiPriority w:val="99"/>
    <w:unhideWhenUsed/>
    <w:rsid w:val="00C045FC"/>
    <w:pPr>
      <w:tabs>
        <w:tab w:val="center" w:pos="4680"/>
        <w:tab w:val="right" w:pos="9360"/>
      </w:tabs>
      <w:spacing w:after="0" w:line="240" w:lineRule="auto"/>
    </w:pPr>
  </w:style>
  <w:style w:type="character" w:customStyle="1" w:styleId="Char0">
    <w:name w:val="تذييل الصفحة Char"/>
    <w:basedOn w:val="a0"/>
    <w:link w:val="a4"/>
    <w:uiPriority w:val="99"/>
    <w:rsid w:val="00C045FC"/>
  </w:style>
  <w:style w:type="paragraph" w:styleId="a5">
    <w:name w:val="Balloon Text"/>
    <w:basedOn w:val="a"/>
    <w:link w:val="Char1"/>
    <w:uiPriority w:val="99"/>
    <w:semiHidden/>
    <w:unhideWhenUsed/>
    <w:rsid w:val="00DE02B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E0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5FC"/>
    <w:pPr>
      <w:tabs>
        <w:tab w:val="center" w:pos="4680"/>
        <w:tab w:val="right" w:pos="9360"/>
      </w:tabs>
      <w:spacing w:after="0" w:line="240" w:lineRule="auto"/>
    </w:pPr>
  </w:style>
  <w:style w:type="character" w:customStyle="1" w:styleId="Char">
    <w:name w:val="رأس الصفحة Char"/>
    <w:basedOn w:val="a0"/>
    <w:link w:val="a3"/>
    <w:uiPriority w:val="99"/>
    <w:rsid w:val="00C045FC"/>
  </w:style>
  <w:style w:type="paragraph" w:styleId="a4">
    <w:name w:val="footer"/>
    <w:basedOn w:val="a"/>
    <w:link w:val="Char0"/>
    <w:uiPriority w:val="99"/>
    <w:unhideWhenUsed/>
    <w:rsid w:val="00C045FC"/>
    <w:pPr>
      <w:tabs>
        <w:tab w:val="center" w:pos="4680"/>
        <w:tab w:val="right" w:pos="9360"/>
      </w:tabs>
      <w:spacing w:after="0" w:line="240" w:lineRule="auto"/>
    </w:pPr>
  </w:style>
  <w:style w:type="character" w:customStyle="1" w:styleId="Char0">
    <w:name w:val="تذييل الصفحة Char"/>
    <w:basedOn w:val="a0"/>
    <w:link w:val="a4"/>
    <w:uiPriority w:val="99"/>
    <w:rsid w:val="00C045FC"/>
  </w:style>
  <w:style w:type="paragraph" w:styleId="a5">
    <w:name w:val="Balloon Text"/>
    <w:basedOn w:val="a"/>
    <w:link w:val="Char1"/>
    <w:uiPriority w:val="99"/>
    <w:semiHidden/>
    <w:unhideWhenUsed/>
    <w:rsid w:val="00DE02B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E0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517</Words>
  <Characters>2948</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2023-05-04T19:19:00Z</dcterms:created>
  <dcterms:modified xsi:type="dcterms:W3CDTF">2023-05-05T15:00:00Z</dcterms:modified>
</cp:coreProperties>
</file>